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1A7F4" w14:textId="77777777" w:rsidR="00AC05ED" w:rsidRPr="00AA1DC4" w:rsidRDefault="00AC05ED" w:rsidP="007A21C8">
      <w:pPr>
        <w:tabs>
          <w:tab w:val="left" w:pos="426"/>
        </w:tabs>
        <w:jc w:val="center"/>
        <w:rPr>
          <w:sz w:val="20"/>
          <w:highlight w:val="yellow"/>
          <w:lang w:val="en-AU"/>
        </w:rPr>
      </w:pPr>
    </w:p>
    <w:p w14:paraId="2EA502E6" w14:textId="53390E4C" w:rsidR="00EA6C7C" w:rsidRPr="00571687" w:rsidRDefault="00EA6C7C" w:rsidP="00EA6C7C">
      <w:pPr>
        <w:jc w:val="center"/>
        <w:rPr>
          <w:sz w:val="20"/>
          <w:lang w:val="en-GB"/>
        </w:rPr>
      </w:pPr>
      <w:r w:rsidRPr="00571687">
        <w:rPr>
          <w:sz w:val="20"/>
          <w:lang w:val="en-GB"/>
        </w:rPr>
        <w:br/>
      </w:r>
    </w:p>
    <w:p w14:paraId="0B6D016F" w14:textId="77777777"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14:paraId="6FDCA490" w14:textId="77777777" w:rsidR="004759A5" w:rsidRDefault="004759A5" w:rsidP="00EA6C7C">
      <w:pPr>
        <w:jc w:val="center"/>
        <w:rPr>
          <w:b/>
          <w:sz w:val="28"/>
          <w:szCs w:val="28"/>
          <w:lang w:val="en-GB"/>
        </w:rPr>
      </w:pPr>
    </w:p>
    <w:p w14:paraId="35058513" w14:textId="77777777" w:rsidR="00EA6C7C" w:rsidRPr="004759A5" w:rsidRDefault="003C15AF" w:rsidP="004759A5">
      <w:pPr>
        <w:rPr>
          <w:rStyle w:val="Strong"/>
          <w:b w:val="0"/>
          <w:sz w:val="28"/>
          <w:szCs w:val="28"/>
          <w:highlight w:val="yellow"/>
          <w:lang w:val="en-GB"/>
        </w:rPr>
      </w:pPr>
      <w:r w:rsidRPr="004759A5">
        <w:rPr>
          <w:sz w:val="28"/>
          <w:szCs w:val="28"/>
          <w:lang w:val="en-GB"/>
        </w:rPr>
        <w:br/>
      </w:r>
    </w:p>
    <w:p w14:paraId="2FCF0757" w14:textId="7526A3B1" w:rsidR="00EA6C7C" w:rsidRPr="00571687" w:rsidRDefault="00D12012" w:rsidP="00D12012">
      <w:pPr>
        <w:spacing w:after="240"/>
        <w:jc w:val="center"/>
        <w:rPr>
          <w:sz w:val="28"/>
          <w:szCs w:val="28"/>
          <w:lang w:val="en-GB"/>
        </w:rPr>
      </w:pPr>
      <w:r w:rsidRPr="00D12012">
        <w:rPr>
          <w:rStyle w:val="Strong"/>
          <w:sz w:val="28"/>
          <w:szCs w:val="28"/>
          <w:lang w:val="en-GB"/>
        </w:rPr>
        <w:t>PV-Rehabilitation in Public Buildings in Lebanon</w:t>
      </w:r>
      <w:r w:rsidR="00EA6C7C" w:rsidRPr="00571687">
        <w:rPr>
          <w:rStyle w:val="Strong"/>
          <w:sz w:val="28"/>
          <w:szCs w:val="28"/>
          <w:lang w:val="en-GB"/>
        </w:rPr>
        <w:br/>
      </w:r>
      <w:r>
        <w:rPr>
          <w:rStyle w:val="Strong"/>
          <w:sz w:val="28"/>
          <w:szCs w:val="28"/>
          <w:lang w:val="en-GB"/>
        </w:rPr>
        <w:t>Lebanon</w:t>
      </w:r>
    </w:p>
    <w:p w14:paraId="08038A4F" w14:textId="77777777" w:rsidR="009A3842" w:rsidRPr="00B573FC" w:rsidRDefault="009A3842" w:rsidP="00170460">
      <w:pPr>
        <w:pStyle w:val="PRAGHeading2"/>
        <w:ind w:left="426" w:hanging="426"/>
        <w:rPr>
          <w:lang w:val="en-GB"/>
        </w:rPr>
      </w:pPr>
      <w:r w:rsidRPr="00B573FC">
        <w:rPr>
          <w:rStyle w:val="Strong"/>
          <w:sz w:val="22"/>
          <w:szCs w:val="22"/>
          <w:lang w:val="en-GB"/>
        </w:rPr>
        <w:t>Nature of contract</w:t>
      </w:r>
    </w:p>
    <w:p w14:paraId="72C1A76F" w14:textId="1C802D8A" w:rsidR="005407B9" w:rsidRPr="00B573FC" w:rsidRDefault="00B573FC" w:rsidP="00DC5622">
      <w:pPr>
        <w:ind w:left="426"/>
      </w:pPr>
      <w:r w:rsidRPr="00B573FC">
        <w:rPr>
          <w:color w:val="000000" w:themeColor="text1"/>
        </w:rPr>
        <w:t xml:space="preserve"> U</w:t>
      </w:r>
      <w:r w:rsidRPr="00B573FC">
        <w:rPr>
          <w:rStyle w:val="Strong"/>
          <w:b w:val="0"/>
          <w:color w:val="000000" w:themeColor="text1"/>
          <w:sz w:val="22"/>
          <w:szCs w:val="22"/>
          <w:lang w:val="en-GB"/>
        </w:rPr>
        <w:t>nit price</w:t>
      </w:r>
      <w:r w:rsidR="005407B9" w:rsidRPr="00B573FC">
        <w:t xml:space="preserve"> </w:t>
      </w:r>
    </w:p>
    <w:p w14:paraId="04E95592"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3659E115" w14:textId="0F482DDF" w:rsidR="006734BD" w:rsidRPr="00B573FC" w:rsidRDefault="006734BD" w:rsidP="00AA22A5">
      <w:pPr>
        <w:pStyle w:val="PRAGHeading2"/>
        <w:numPr>
          <w:ilvl w:val="0"/>
          <w:numId w:val="0"/>
        </w:numPr>
        <w:ind w:left="426"/>
        <w:rPr>
          <w:color w:val="000000" w:themeColor="text1"/>
          <w:lang w:val="en-GB"/>
        </w:rPr>
      </w:pPr>
      <w:r w:rsidRPr="00B573FC">
        <w:rPr>
          <w:color w:val="000000" w:themeColor="text1"/>
          <w:lang w:val="en-GB"/>
        </w:rPr>
        <w:t>2018/41-140 Promoting innovation and entrepreneurship in support to Lebanon's clean energy transition</w:t>
      </w:r>
    </w:p>
    <w:p w14:paraId="24326864"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572A3619" w14:textId="23BA2569" w:rsidR="006734BD" w:rsidRPr="00B573FC" w:rsidRDefault="006734BD" w:rsidP="006734BD">
      <w:pPr>
        <w:ind w:left="426" w:right="360"/>
        <w:rPr>
          <w:color w:val="000000" w:themeColor="text1"/>
          <w:sz w:val="22"/>
          <w:szCs w:val="22"/>
          <w:lang w:val="en-GB"/>
        </w:rPr>
      </w:pPr>
      <w:r w:rsidRPr="00B573FC">
        <w:rPr>
          <w:color w:val="000000" w:themeColor="text1"/>
          <w:sz w:val="22"/>
          <w:szCs w:val="22"/>
          <w:lang w:val="en-GB"/>
        </w:rPr>
        <w:t>Financed from the European Commission, Budget line 22.040102 EuropeAid163032/DD/ACT/LB</w:t>
      </w:r>
    </w:p>
    <w:p w14:paraId="4F66D3C5" w14:textId="4E2F66B2" w:rsidR="00AA22A5" w:rsidRPr="0043633A" w:rsidRDefault="00AA22A5" w:rsidP="00170460">
      <w:pPr>
        <w:pStyle w:val="PRAGHeading2"/>
        <w:ind w:left="426" w:hanging="426"/>
        <w:rPr>
          <w:rStyle w:val="Strong"/>
          <w:sz w:val="22"/>
          <w:szCs w:val="22"/>
          <w:lang w:val="en-GB"/>
        </w:rPr>
      </w:pPr>
      <w:r w:rsidRPr="0043633A">
        <w:rPr>
          <w:rStyle w:val="Strong"/>
          <w:sz w:val="22"/>
          <w:szCs w:val="22"/>
          <w:lang w:val="en-GB"/>
        </w:rPr>
        <w:t>Eligibility and rules of origin</w:t>
      </w:r>
    </w:p>
    <w:p w14:paraId="7A6596A9" w14:textId="3DCA6B1F" w:rsidR="007550C2" w:rsidRDefault="007550C2" w:rsidP="00DC5622">
      <w:pPr>
        <w:widowControl/>
        <w:autoSpaceDE w:val="0"/>
        <w:autoSpaceDN w:val="0"/>
        <w:adjustRightInd w:val="0"/>
        <w:spacing w:before="0"/>
        <w:ind w:left="426"/>
        <w:jc w:val="both"/>
        <w:rPr>
          <w:rFonts w:eastAsiaTheme="minorHAnsi"/>
          <w:snapToGrid/>
          <w:sz w:val="22"/>
          <w:szCs w:val="21"/>
          <w:lang w:val="en-GB"/>
        </w:rPr>
      </w:pPr>
      <w:r w:rsidRPr="00DC5622">
        <w:rPr>
          <w:rFonts w:eastAsiaTheme="minorHAnsi"/>
          <w:snapToGrid/>
          <w:sz w:val="22"/>
          <w:szCs w:val="21"/>
          <w:lang w:val="en-GB"/>
        </w:rPr>
        <w:t xml:space="preserve">Participation in tender procedures is open on equal terms to all natural who are nationals of and legal persons (participating either individually or in grouping-consortium- of tenderers) effectively established in a Member State or a country, territory or region mentioned as </w:t>
      </w:r>
      <w:r w:rsidR="001E6581">
        <w:rPr>
          <w:rFonts w:eastAsiaTheme="minorHAnsi"/>
          <w:snapToGrid/>
          <w:sz w:val="22"/>
          <w:szCs w:val="21"/>
          <w:lang w:val="en-GB"/>
        </w:rPr>
        <w:t xml:space="preserve">eligible by the relevant regulation/basic act governing </w:t>
      </w:r>
      <w:r w:rsidR="00063D84" w:rsidRPr="00063D84">
        <w:rPr>
          <w:rFonts w:eastAsiaTheme="minorHAnsi"/>
          <w:snapToGrid/>
          <w:sz w:val="22"/>
          <w:szCs w:val="21"/>
          <w:lang w:val="en-GB"/>
        </w:rPr>
        <w:t>the implementation of the Union's instruments for external action (CIR) for the applicable instrument under which the contract is financed</w:t>
      </w:r>
      <w:r w:rsidR="00063D84">
        <w:rPr>
          <w:rStyle w:val="FootnoteReference"/>
          <w:rFonts w:eastAsiaTheme="minorHAnsi"/>
          <w:snapToGrid/>
          <w:sz w:val="22"/>
          <w:szCs w:val="21"/>
          <w:lang w:val="en-GB"/>
        </w:rPr>
        <w:footnoteReference w:id="1"/>
      </w:r>
      <w:r w:rsidR="001E6581">
        <w:rPr>
          <w:rFonts w:eastAsiaTheme="minorHAnsi"/>
          <w:snapToGrid/>
          <w:sz w:val="22"/>
          <w:szCs w:val="21"/>
          <w:lang w:val="en-GB"/>
        </w:rPr>
        <w:t xml:space="preserve"> </w:t>
      </w:r>
      <w:r w:rsidRPr="00DC5622">
        <w:rPr>
          <w:rFonts w:eastAsiaTheme="minorHAnsi"/>
          <w:snapToGrid/>
          <w:sz w:val="22"/>
          <w:szCs w:val="21"/>
          <w:lang w:val="en-GB"/>
        </w:rPr>
        <w:t xml:space="preserve">as per Annex A2a to the practical guide. Tenderers must state their nationality in their tenders and provide the usual proof of nationality under their national legislation. </w:t>
      </w:r>
    </w:p>
    <w:p w14:paraId="2B0950FE" w14:textId="72642304" w:rsidR="00954209" w:rsidRDefault="007550C2" w:rsidP="00DC5622">
      <w:pPr>
        <w:widowControl/>
        <w:autoSpaceDE w:val="0"/>
        <w:autoSpaceDN w:val="0"/>
        <w:adjustRightInd w:val="0"/>
        <w:spacing w:before="0"/>
        <w:ind w:left="426"/>
        <w:jc w:val="both"/>
        <w:rPr>
          <w:rFonts w:eastAsiaTheme="minorHAnsi"/>
          <w:snapToGrid/>
          <w:sz w:val="22"/>
          <w:szCs w:val="22"/>
          <w:lang w:val="en-GB"/>
        </w:rPr>
      </w:pPr>
      <w:r w:rsidRPr="00DC5622">
        <w:rPr>
          <w:rFonts w:eastAsiaTheme="minorHAnsi"/>
          <w:snapToGrid/>
          <w:sz w:val="22"/>
          <w:szCs w:val="22"/>
          <w:lang w:val="en-GB"/>
        </w:rPr>
        <w:t>The tenderer must</w:t>
      </w:r>
      <w:r w:rsidR="008F0CEB" w:rsidRPr="00DC5622">
        <w:rPr>
          <w:rFonts w:eastAsiaTheme="minorHAnsi"/>
          <w:snapToGrid/>
          <w:sz w:val="22"/>
          <w:szCs w:val="22"/>
          <w:lang w:val="en-GB"/>
        </w:rPr>
        <w:t xml:space="preserve"> state the origin</w:t>
      </w:r>
      <w:r w:rsidRPr="00DC5622">
        <w:rPr>
          <w:rStyle w:val="FootnoteReference"/>
          <w:rFonts w:eastAsiaTheme="minorHAnsi"/>
          <w:snapToGrid/>
          <w:sz w:val="22"/>
          <w:szCs w:val="22"/>
          <w:lang w:val="en-GB"/>
        </w:rPr>
        <w:footnoteReference w:id="2"/>
      </w:r>
      <w:r w:rsidR="008F0CEB" w:rsidRPr="00DC5622">
        <w:rPr>
          <w:rFonts w:eastAsiaTheme="minorHAnsi"/>
          <w:snapToGrid/>
          <w:sz w:val="22"/>
          <w:szCs w:val="22"/>
          <w:lang w:val="en-GB"/>
        </w:rPr>
        <w:t xml:space="preserve"> </w:t>
      </w:r>
      <w:r w:rsidRPr="00DC5622">
        <w:rPr>
          <w:rFonts w:eastAsiaTheme="minorHAnsi"/>
          <w:snapToGrid/>
          <w:sz w:val="22"/>
          <w:szCs w:val="22"/>
          <w:lang w:val="en-GB"/>
        </w:rPr>
        <w:t>of the supplies,</w:t>
      </w:r>
      <w:r w:rsidRPr="00954209">
        <w:rPr>
          <w:rFonts w:eastAsiaTheme="minorHAnsi"/>
          <w:snapToGrid/>
          <w:sz w:val="22"/>
          <w:szCs w:val="22"/>
          <w:lang w:val="en-GB"/>
        </w:rPr>
        <w:t xml:space="preserve"> </w:t>
      </w:r>
      <w:r w:rsidRPr="00DC5622">
        <w:rPr>
          <w:rFonts w:eastAsiaTheme="minorHAnsi"/>
          <w:snapToGrid/>
          <w:sz w:val="22"/>
          <w:szCs w:val="22"/>
          <w:lang w:val="en-GB"/>
        </w:rPr>
        <w:t>and the selected contractor will always have to prove the origin of the supplies.</w:t>
      </w:r>
      <w:r w:rsidRPr="00954209">
        <w:rPr>
          <w:rFonts w:eastAsiaTheme="minorHAnsi"/>
          <w:snapToGrid/>
          <w:sz w:val="22"/>
          <w:szCs w:val="22"/>
          <w:lang w:val="en-GB"/>
        </w:rPr>
        <w:t xml:space="preserve"> </w:t>
      </w:r>
      <w:r w:rsidRPr="00DC5622">
        <w:rPr>
          <w:rFonts w:eastAsiaTheme="minorHAnsi"/>
          <w:snapToGrid/>
          <w:sz w:val="22"/>
          <w:szCs w:val="22"/>
          <w:lang w:val="en-GB"/>
        </w:rPr>
        <w:t>For equipment and vehicles of a unit cost on purchase of more than EUR 5 000,</w:t>
      </w:r>
      <w:r w:rsidRPr="00954209">
        <w:rPr>
          <w:rFonts w:eastAsiaTheme="minorHAnsi"/>
          <w:snapToGrid/>
          <w:sz w:val="22"/>
          <w:szCs w:val="22"/>
          <w:lang w:val="en-GB"/>
        </w:rPr>
        <w:t xml:space="preserve"> </w:t>
      </w:r>
      <w:r w:rsidRPr="00DC5622">
        <w:rPr>
          <w:rFonts w:eastAsiaTheme="minorHAnsi"/>
          <w:snapToGrid/>
          <w:sz w:val="22"/>
          <w:szCs w:val="22"/>
          <w:lang w:val="en-GB"/>
        </w:rPr>
        <w:t>contractors must present proof of origin at the latest when the first</w:t>
      </w:r>
      <w:r w:rsidRPr="00954209">
        <w:rPr>
          <w:rFonts w:eastAsiaTheme="minorHAnsi"/>
          <w:snapToGrid/>
          <w:sz w:val="22"/>
          <w:szCs w:val="22"/>
          <w:lang w:val="en-GB"/>
        </w:rPr>
        <w:t xml:space="preserve"> </w:t>
      </w:r>
      <w:r w:rsidRPr="00DC5622">
        <w:rPr>
          <w:rFonts w:eastAsiaTheme="minorHAnsi"/>
          <w:snapToGrid/>
          <w:sz w:val="22"/>
          <w:szCs w:val="22"/>
          <w:lang w:val="en-GB"/>
        </w:rPr>
        <w:t>invoice is presented. The certificate of origin must be made out by the competent</w:t>
      </w:r>
      <w:r w:rsidRPr="00954209">
        <w:rPr>
          <w:rFonts w:eastAsiaTheme="minorHAnsi"/>
          <w:snapToGrid/>
          <w:sz w:val="22"/>
          <w:szCs w:val="22"/>
          <w:lang w:val="en-GB"/>
        </w:rPr>
        <w:t xml:space="preserve"> </w:t>
      </w:r>
      <w:r w:rsidRPr="00DC5622">
        <w:rPr>
          <w:rFonts w:eastAsiaTheme="minorHAnsi"/>
          <w:snapToGrid/>
          <w:sz w:val="22"/>
          <w:szCs w:val="22"/>
          <w:lang w:val="en-GB"/>
        </w:rPr>
        <w:t>authorities of the country of origin of the supplies and must comply with the rules laid</w:t>
      </w:r>
      <w:r w:rsidRPr="00954209">
        <w:rPr>
          <w:rFonts w:eastAsiaTheme="minorHAnsi"/>
          <w:snapToGrid/>
          <w:sz w:val="22"/>
          <w:szCs w:val="22"/>
          <w:lang w:val="en-GB"/>
        </w:rPr>
        <w:t xml:space="preserve"> </w:t>
      </w:r>
      <w:r w:rsidRPr="00DC5622">
        <w:rPr>
          <w:rFonts w:eastAsiaTheme="minorHAnsi"/>
          <w:snapToGrid/>
          <w:sz w:val="22"/>
          <w:szCs w:val="22"/>
          <w:lang w:val="en-GB"/>
        </w:rPr>
        <w:t>down by the relevant Union legislation. Failure to comply with this condition may result</w:t>
      </w:r>
      <w:r w:rsidRPr="00954209">
        <w:rPr>
          <w:rFonts w:eastAsiaTheme="minorHAnsi"/>
          <w:snapToGrid/>
          <w:sz w:val="22"/>
          <w:szCs w:val="22"/>
          <w:lang w:val="en-GB"/>
        </w:rPr>
        <w:t xml:space="preserve"> </w:t>
      </w:r>
      <w:r w:rsidRPr="00DC5622">
        <w:rPr>
          <w:rFonts w:eastAsiaTheme="minorHAnsi"/>
          <w:snapToGrid/>
          <w:sz w:val="22"/>
          <w:szCs w:val="22"/>
          <w:lang w:val="en-GB"/>
        </w:rPr>
        <w:t>in the termination of the contract and/or suspension of payment.</w:t>
      </w:r>
      <w:r w:rsidRPr="00954209">
        <w:rPr>
          <w:rFonts w:eastAsiaTheme="minorHAnsi"/>
          <w:snapToGrid/>
          <w:sz w:val="22"/>
          <w:szCs w:val="22"/>
          <w:lang w:val="en-GB"/>
        </w:rPr>
        <w:t xml:space="preserve"> </w:t>
      </w:r>
    </w:p>
    <w:p w14:paraId="1D45B71F" w14:textId="49B01F54" w:rsidR="00B7403A" w:rsidRPr="004A6F11" w:rsidRDefault="00B7403A" w:rsidP="00B7403A">
      <w:pPr>
        <w:ind w:left="426"/>
        <w:jc w:val="both"/>
        <w:rPr>
          <w:color w:val="000000" w:themeColor="text1"/>
          <w:sz w:val="22"/>
          <w:szCs w:val="22"/>
          <w:lang w:val="en-GB"/>
        </w:rPr>
      </w:pPr>
      <w:r w:rsidRPr="004A6F11">
        <w:rPr>
          <w:color w:val="000000" w:themeColor="text1"/>
          <w:sz w:val="22"/>
          <w:szCs w:val="22"/>
          <w:lang w:val="en-GB"/>
        </w:rPr>
        <w:t xml:space="preserve">  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168EF4B5" w14:textId="3AB697AA" w:rsidR="00B7403A" w:rsidRPr="004A6F11" w:rsidRDefault="00B7403A" w:rsidP="00B7403A">
      <w:pPr>
        <w:ind w:left="426"/>
        <w:jc w:val="both"/>
        <w:rPr>
          <w:color w:val="000000" w:themeColor="text1"/>
          <w:sz w:val="22"/>
          <w:szCs w:val="22"/>
          <w:lang w:val="en-GB"/>
        </w:rPr>
      </w:pPr>
      <w:r w:rsidRPr="004A6F11">
        <w:rPr>
          <w:color w:val="000000" w:themeColor="text1"/>
          <w:sz w:val="22"/>
          <w:szCs w:val="22"/>
          <w:lang w:val="en-GB"/>
        </w:rPr>
        <w:t>* Agreement on the withdrawal of the United Kingdom of Great Britain and Northern Ireland from the European Union and the European Atomic Energy Community.</w:t>
      </w:r>
    </w:p>
    <w:p w14:paraId="054E926F" w14:textId="4648A14A" w:rsidR="00B7403A" w:rsidRPr="004A6F11" w:rsidRDefault="00B7403A" w:rsidP="00B7403A">
      <w:pPr>
        <w:ind w:left="426"/>
        <w:jc w:val="both"/>
        <w:rPr>
          <w:color w:val="000000" w:themeColor="text1"/>
          <w:sz w:val="22"/>
          <w:szCs w:val="22"/>
          <w:lang w:val="en-GB"/>
        </w:rPr>
      </w:pPr>
      <w:r w:rsidRPr="004A6F11">
        <w:rPr>
          <w:color w:val="000000" w:themeColor="text1"/>
          <w:sz w:val="22"/>
          <w:szCs w:val="22"/>
          <w:lang w:val="en-GB"/>
        </w:rPr>
        <w:t xml:space="preserve">** Regulation (EU) No 236/2014 of the European Parliament and of the Council of 11 March 2014 </w:t>
      </w:r>
      <w:r w:rsidRPr="004A6F11">
        <w:rPr>
          <w:color w:val="000000" w:themeColor="text1"/>
          <w:sz w:val="22"/>
          <w:szCs w:val="22"/>
          <w:lang w:val="en-GB"/>
        </w:rPr>
        <w:lastRenderedPageBreak/>
        <w:t>laying down common rules and procedures for the implementation of the Union's instruments for financing external action.</w:t>
      </w:r>
    </w:p>
    <w:p w14:paraId="32641BD5" w14:textId="10E4118F" w:rsidR="00B7403A" w:rsidRPr="004A6F11" w:rsidRDefault="00B7403A" w:rsidP="00B7403A">
      <w:pPr>
        <w:ind w:left="426"/>
        <w:jc w:val="both"/>
        <w:rPr>
          <w:color w:val="000000" w:themeColor="text1"/>
          <w:sz w:val="22"/>
          <w:szCs w:val="22"/>
          <w:lang w:val="en-GB"/>
        </w:rPr>
      </w:pPr>
      <w:r w:rsidRPr="004A6F11">
        <w:rPr>
          <w:color w:val="000000" w:themeColor="text1"/>
          <w:sz w:val="22"/>
          <w:szCs w:val="22"/>
          <w:lang w:val="en-GB"/>
        </w:rPr>
        <w:t>**** including the Overseas Countries and Territories having special relations with the United Kingdom, as laid down in Part Four and Annex II of the TFEU].</w:t>
      </w: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4239EE5C"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14:paraId="437A1E48"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3EE88859"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79C39027"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14:paraId="5E7E0F7E"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25254132" w14:textId="53D36228"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application</w:t>
      </w:r>
      <w:r w:rsidR="00CC118D"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11FF4BE3" w14:textId="7335CC1F" w:rsidR="000557AC" w:rsidRPr="00A9572C" w:rsidRDefault="00AA1DC4" w:rsidP="00170460">
      <w:pPr>
        <w:pStyle w:val="PRAGHeading2"/>
        <w:ind w:left="426" w:right="-48" w:hanging="426"/>
        <w:rPr>
          <w:rStyle w:val="Strong"/>
          <w:color w:val="000000" w:themeColor="text1"/>
          <w:sz w:val="22"/>
          <w:szCs w:val="22"/>
          <w:lang w:val="en-GB"/>
        </w:rPr>
      </w:pPr>
      <w:r w:rsidRPr="00F501B1">
        <w:rPr>
          <w:color w:val="000000" w:themeColor="text1"/>
          <w:sz w:val="22"/>
          <w:szCs w:val="22"/>
          <w:lang w:val="en-GB"/>
        </w:rPr>
        <w:t xml:space="preserve"> </w:t>
      </w:r>
      <w:r w:rsidR="000557AC" w:rsidRPr="00A9572C">
        <w:rPr>
          <w:rStyle w:val="Strong"/>
          <w:color w:val="000000" w:themeColor="text1"/>
          <w:sz w:val="22"/>
          <w:szCs w:val="22"/>
          <w:lang w:val="en-GB"/>
        </w:rPr>
        <w:t>Tender guarantee</w:t>
      </w:r>
    </w:p>
    <w:p w14:paraId="7B552B05" w14:textId="4F176F37" w:rsidR="00C12078" w:rsidRPr="00DC5622" w:rsidRDefault="000557AC" w:rsidP="00170460">
      <w:pPr>
        <w:pStyle w:val="PRAGHeading2"/>
        <w:numPr>
          <w:ilvl w:val="0"/>
          <w:numId w:val="0"/>
        </w:numPr>
        <w:ind w:left="426"/>
        <w:rPr>
          <w:rStyle w:val="Strong"/>
          <w:b w:val="0"/>
          <w:color w:val="000000" w:themeColor="text1"/>
          <w:sz w:val="22"/>
          <w:szCs w:val="22"/>
          <w:lang w:val="en-GB"/>
        </w:rPr>
      </w:pPr>
      <w:r w:rsidRPr="00F501B1">
        <w:rPr>
          <w:color w:val="000000" w:themeColor="text1"/>
          <w:sz w:val="22"/>
          <w:szCs w:val="22"/>
          <w:lang w:val="en-GB"/>
        </w:rPr>
        <w:t xml:space="preserve">No tender guarantee is </w:t>
      </w:r>
      <w:r w:rsidRPr="009E64BC">
        <w:rPr>
          <w:color w:val="000000" w:themeColor="text1"/>
          <w:sz w:val="22"/>
          <w:szCs w:val="22"/>
          <w:lang w:val="en-GB"/>
        </w:rPr>
        <w:t>required</w:t>
      </w:r>
      <w:r w:rsidRPr="00DC5622">
        <w:rPr>
          <w:color w:val="000000" w:themeColor="text1"/>
          <w:sz w:val="22"/>
          <w:szCs w:val="22"/>
          <w:lang w:val="en-GB"/>
        </w:rPr>
        <w:t>.</w:t>
      </w:r>
    </w:p>
    <w:p w14:paraId="0D60653E" w14:textId="77777777" w:rsidR="00C12078" w:rsidRPr="00DC5622" w:rsidRDefault="00C12078" w:rsidP="00170460">
      <w:pPr>
        <w:pStyle w:val="PRAGHeading2"/>
        <w:ind w:left="426" w:hanging="426"/>
        <w:rPr>
          <w:rStyle w:val="Strong"/>
          <w:color w:val="000000" w:themeColor="text1"/>
          <w:sz w:val="22"/>
          <w:szCs w:val="22"/>
          <w:lang w:val="en-GB"/>
        </w:rPr>
      </w:pPr>
      <w:r w:rsidRPr="00DC5622">
        <w:rPr>
          <w:rStyle w:val="Strong"/>
          <w:color w:val="000000" w:themeColor="text1"/>
          <w:sz w:val="22"/>
          <w:szCs w:val="22"/>
          <w:lang w:val="en-GB"/>
        </w:rPr>
        <w:t>Performance guarantee</w:t>
      </w:r>
    </w:p>
    <w:p w14:paraId="1C4A9194" w14:textId="733172D9" w:rsidR="00F501B1" w:rsidRPr="0030441E" w:rsidRDefault="009E64BC" w:rsidP="000522B2">
      <w:pPr>
        <w:ind w:left="426"/>
        <w:jc w:val="both"/>
        <w:rPr>
          <w:sz w:val="22"/>
          <w:szCs w:val="22"/>
          <w:lang w:val="en-GB"/>
        </w:rPr>
      </w:pPr>
      <w:r w:rsidRPr="00D10755">
        <w:rPr>
          <w:color w:val="000000" w:themeColor="text1"/>
          <w:sz w:val="22"/>
          <w:szCs w:val="22"/>
          <w:lang w:val="en-GB"/>
        </w:rPr>
        <w:t>No performance guarantee required.</w:t>
      </w:r>
    </w:p>
    <w:p w14:paraId="5EB4D34F" w14:textId="77777777" w:rsidR="005526AA" w:rsidRPr="00354889" w:rsidRDefault="005526AA" w:rsidP="00170460">
      <w:pPr>
        <w:pStyle w:val="PRAGHeading2"/>
        <w:ind w:left="426" w:hanging="426"/>
        <w:rPr>
          <w:rStyle w:val="Strong"/>
          <w:sz w:val="22"/>
          <w:szCs w:val="22"/>
          <w:lang w:val="en-GB"/>
        </w:rPr>
      </w:pPr>
      <w:r w:rsidRPr="00354889">
        <w:rPr>
          <w:rStyle w:val="Strong"/>
          <w:sz w:val="22"/>
          <w:szCs w:val="22"/>
          <w:lang w:val="en-GB"/>
        </w:rPr>
        <w:t>Information meeting and/or site visit</w:t>
      </w:r>
    </w:p>
    <w:p w14:paraId="5A1B58D0" w14:textId="1CC94612" w:rsidR="005526AA" w:rsidRPr="00865765" w:rsidRDefault="009E64BC" w:rsidP="00170460">
      <w:pPr>
        <w:pStyle w:val="Blockquote"/>
        <w:ind w:left="426"/>
        <w:rPr>
          <w:sz w:val="22"/>
          <w:szCs w:val="22"/>
          <w:lang w:val="en-GB"/>
        </w:rPr>
      </w:pPr>
      <w:r w:rsidRPr="003F5490">
        <w:rPr>
          <w:sz w:val="22"/>
          <w:szCs w:val="22"/>
          <w:lang w:val="en-GB"/>
        </w:rPr>
        <w:t>No information meeting is planned</w:t>
      </w:r>
      <w:r w:rsidRPr="00DC5622">
        <w:rPr>
          <w:sz w:val="22"/>
          <w:szCs w:val="22"/>
          <w:lang w:val="en-GB"/>
        </w:rPr>
        <w:t>.</w:t>
      </w:r>
    </w:p>
    <w:p w14:paraId="1990325F" w14:textId="77777777" w:rsidR="0006275F" w:rsidRPr="00EE3127" w:rsidRDefault="0006275F" w:rsidP="00AC4ADC">
      <w:pPr>
        <w:pStyle w:val="PRAGHeading2"/>
        <w:ind w:left="426" w:hanging="426"/>
        <w:jc w:val="both"/>
        <w:rPr>
          <w:rStyle w:val="Strong"/>
          <w:sz w:val="22"/>
          <w:szCs w:val="22"/>
          <w:lang w:val="en-GB"/>
        </w:rPr>
      </w:pPr>
      <w:r w:rsidRPr="00EE3127">
        <w:rPr>
          <w:rStyle w:val="Strong"/>
          <w:sz w:val="22"/>
          <w:szCs w:val="22"/>
          <w:lang w:val="en-GB"/>
        </w:rPr>
        <w:t>Tender validity</w:t>
      </w:r>
    </w:p>
    <w:p w14:paraId="000377B2" w14:textId="61378153" w:rsidR="000D6A01" w:rsidRPr="00F501B1" w:rsidRDefault="000D6A01" w:rsidP="00F501B1">
      <w:pPr>
        <w:pStyle w:val="PRAGHeading2"/>
        <w:numPr>
          <w:ilvl w:val="0"/>
          <w:numId w:val="0"/>
        </w:numPr>
        <w:ind w:left="426"/>
        <w:jc w:val="both"/>
        <w:rPr>
          <w:color w:val="000000" w:themeColor="text1"/>
          <w:sz w:val="22"/>
          <w:szCs w:val="22"/>
          <w:highlight w:val="lightGray"/>
          <w:lang w:val="en-GB"/>
        </w:rPr>
      </w:pPr>
      <w:r w:rsidRPr="00F501B1">
        <w:rPr>
          <w:color w:val="000000" w:themeColor="text1"/>
          <w:sz w:val="22"/>
          <w:szCs w:val="22"/>
          <w:lang w:val="en-GB"/>
        </w:rPr>
        <w:t xml:space="preserve">Tenders must remain valid for a period of </w:t>
      </w:r>
      <w:r w:rsidR="00EF7E34" w:rsidRPr="00F501B1">
        <w:rPr>
          <w:rFonts w:hint="cs"/>
          <w:color w:val="000000" w:themeColor="text1"/>
          <w:sz w:val="22"/>
          <w:szCs w:val="22"/>
          <w:rtl/>
          <w:lang w:val="en-GB"/>
        </w:rPr>
        <w:t xml:space="preserve">3 </w:t>
      </w:r>
      <w:r w:rsidR="00EF7E34" w:rsidRPr="00F501B1">
        <w:rPr>
          <w:color w:val="000000" w:themeColor="text1"/>
          <w:sz w:val="22"/>
          <w:szCs w:val="22"/>
          <w:lang w:val="en-AU"/>
        </w:rPr>
        <w:t>months</w:t>
      </w:r>
      <w:r w:rsidRPr="00F501B1">
        <w:rPr>
          <w:color w:val="000000" w:themeColor="text1"/>
          <w:sz w:val="22"/>
          <w:szCs w:val="22"/>
          <w:lang w:val="en-GB"/>
        </w:rPr>
        <w:t xml:space="preserve"> after the deadline for submission of tenders. In exceptional circumstances, the contracting authority may, before the validity period expires, request that tenderers extend the validity of tenders for a specific period (see para 8.2 of the instructions to tenderers).</w:t>
      </w:r>
    </w:p>
    <w:p w14:paraId="4EB17759"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14:paraId="093C6D6C" w14:textId="55417A52" w:rsidR="00AA22A5" w:rsidRDefault="00AA22A5" w:rsidP="0025703B">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B96652">
        <w:rPr>
          <w:b/>
          <w:sz w:val="22"/>
          <w:szCs w:val="22"/>
          <w:lang w:val="en-GB"/>
        </w:rPr>
        <w:t xml:space="preserve"> </w:t>
      </w:r>
      <w:r w:rsidR="00B96652" w:rsidRPr="00D544EE">
        <w:rPr>
          <w:sz w:val="22"/>
          <w:szCs w:val="22"/>
          <w:lang w:val="en-GB"/>
        </w:rPr>
        <w:t>Where the candidate or tenderer intends to rely on capacity providing entities or subcontractor(s), he/she must provide the same declaration signed by this/these entity(ies).</w:t>
      </w:r>
    </w:p>
    <w:p w14:paraId="6E3E84C6" w14:textId="77777777"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004B199F" w14:textId="77777777" w:rsidR="00AA22A5" w:rsidRDefault="00AA22A5" w:rsidP="00AA22A5">
      <w:pPr>
        <w:pStyle w:val="Default"/>
        <w:spacing w:after="120"/>
        <w:ind w:left="426"/>
        <w:jc w:val="both"/>
        <w:rPr>
          <w:rFonts w:ascii="Times New Roman" w:hAnsi="Times New Roman" w:cs="Times New Roman"/>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14:paraId="3AE2DE73" w14:textId="77777777" w:rsidR="00AA22A5" w:rsidRPr="00F00CFF" w:rsidRDefault="00AA22A5" w:rsidP="00AC4ADC">
      <w:pPr>
        <w:pStyle w:val="PRAGHeading2"/>
        <w:ind w:left="426" w:hanging="426"/>
        <w:rPr>
          <w:rStyle w:val="Strong"/>
          <w:sz w:val="22"/>
          <w:szCs w:val="22"/>
          <w:lang w:val="en-GB"/>
        </w:rPr>
      </w:pPr>
      <w:r w:rsidRPr="00F00CFF">
        <w:rPr>
          <w:rStyle w:val="Strong"/>
          <w:sz w:val="22"/>
          <w:szCs w:val="22"/>
          <w:lang w:val="en-GB"/>
        </w:rPr>
        <w:t xml:space="preserve">Provisional date of </w:t>
      </w:r>
      <w:r w:rsidR="00246FE9" w:rsidRPr="00F00CFF">
        <w:rPr>
          <w:rStyle w:val="Strong"/>
          <w:sz w:val="22"/>
          <w:szCs w:val="22"/>
          <w:lang w:val="en-GB"/>
        </w:rPr>
        <w:t>i</w:t>
      </w:r>
      <w:r w:rsidRPr="00F00CFF">
        <w:rPr>
          <w:rStyle w:val="Strong"/>
          <w:sz w:val="22"/>
          <w:szCs w:val="22"/>
          <w:lang w:val="en-GB"/>
        </w:rPr>
        <w:t xml:space="preserve">nvitation to tender </w:t>
      </w:r>
    </w:p>
    <w:p w14:paraId="2C7CBE51" w14:textId="57BD9E21" w:rsidR="00AA22A5" w:rsidRPr="00662072" w:rsidRDefault="00F00CFF" w:rsidP="00EF7E34">
      <w:pPr>
        <w:pStyle w:val="PRAGHeading2"/>
        <w:numPr>
          <w:ilvl w:val="0"/>
          <w:numId w:val="0"/>
        </w:numPr>
        <w:rPr>
          <w:i/>
          <w:lang w:val="en-GB"/>
        </w:rPr>
      </w:pPr>
      <w:r w:rsidRPr="00662072">
        <w:rPr>
          <w:rStyle w:val="Emphasis"/>
          <w:i w:val="0"/>
          <w:sz w:val="22"/>
          <w:szCs w:val="22"/>
          <w:lang w:val="en-GB"/>
        </w:rPr>
        <w:t xml:space="preserve">        </w:t>
      </w:r>
      <w:r w:rsidR="00EF7E34" w:rsidRPr="00662072">
        <w:rPr>
          <w:rStyle w:val="Emphasis"/>
          <w:i w:val="0"/>
          <w:sz w:val="22"/>
          <w:szCs w:val="22"/>
          <w:lang w:val="en-GB"/>
        </w:rPr>
        <w:t>30/11/2020</w:t>
      </w:r>
    </w:p>
    <w:p w14:paraId="489DE96A" w14:textId="77777777" w:rsidR="00AA22A5" w:rsidRPr="00F00CFF" w:rsidRDefault="00AA22A5" w:rsidP="00AC4ADC">
      <w:pPr>
        <w:pStyle w:val="PRAGHeading2"/>
        <w:ind w:left="426" w:hanging="426"/>
        <w:rPr>
          <w:rStyle w:val="Strong"/>
          <w:sz w:val="22"/>
          <w:szCs w:val="22"/>
          <w:lang w:val="en-GB"/>
        </w:rPr>
      </w:pPr>
      <w:r w:rsidRPr="00F00CFF">
        <w:rPr>
          <w:rStyle w:val="Strong"/>
          <w:sz w:val="22"/>
          <w:szCs w:val="22"/>
          <w:lang w:val="en-GB"/>
        </w:rPr>
        <w:t xml:space="preserve">Provisional commencement date of the contract </w:t>
      </w:r>
    </w:p>
    <w:p w14:paraId="6D1065FD" w14:textId="40FA146C" w:rsidR="00AA22A5" w:rsidRPr="00662072" w:rsidRDefault="000B1B9E" w:rsidP="00EF7E34">
      <w:pPr>
        <w:pStyle w:val="PRAGHeading2"/>
        <w:numPr>
          <w:ilvl w:val="0"/>
          <w:numId w:val="0"/>
        </w:numPr>
        <w:tabs>
          <w:tab w:val="left" w:pos="1740"/>
        </w:tabs>
        <w:ind w:left="426"/>
        <w:rPr>
          <w:rStyle w:val="Emphasis"/>
          <w:i w:val="0"/>
          <w:sz w:val="22"/>
          <w:szCs w:val="22"/>
          <w:lang w:val="en-GB"/>
        </w:rPr>
      </w:pPr>
      <w:r>
        <w:rPr>
          <w:rStyle w:val="Emphasis"/>
          <w:i w:val="0"/>
          <w:sz w:val="22"/>
          <w:szCs w:val="22"/>
          <w:lang w:val="en-GB"/>
        </w:rPr>
        <w:t>21</w:t>
      </w:r>
      <w:r w:rsidR="00EF7E34" w:rsidRPr="00662072">
        <w:rPr>
          <w:rStyle w:val="Emphasis"/>
          <w:i w:val="0"/>
          <w:sz w:val="22"/>
          <w:szCs w:val="22"/>
          <w:lang w:val="en-GB"/>
        </w:rPr>
        <w:t>/02/2021</w:t>
      </w:r>
    </w:p>
    <w:p w14:paraId="29259CFD" w14:textId="77777777"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lastRenderedPageBreak/>
        <w:t>P</w:t>
      </w:r>
      <w:r w:rsidRPr="0025703B">
        <w:rPr>
          <w:rStyle w:val="Strong"/>
          <w:lang w:val="en-GB"/>
        </w:rPr>
        <w:t>eriod of implementation of tasks</w:t>
      </w:r>
    </w:p>
    <w:p w14:paraId="31D6A696" w14:textId="4E99A9BB" w:rsidR="00F1521C" w:rsidRPr="00662072" w:rsidRDefault="00F569B4" w:rsidP="00F569B4">
      <w:pPr>
        <w:pStyle w:val="PRAGHeading2"/>
        <w:numPr>
          <w:ilvl w:val="0"/>
          <w:numId w:val="0"/>
        </w:numPr>
        <w:ind w:left="426"/>
        <w:rPr>
          <w:rStyle w:val="Emphasis"/>
          <w:color w:val="000000" w:themeColor="text1"/>
          <w:sz w:val="22"/>
          <w:szCs w:val="22"/>
          <w:lang w:val="en-GB"/>
        </w:rPr>
      </w:pPr>
      <w:r w:rsidRPr="00DC5622">
        <w:rPr>
          <w:rStyle w:val="Emphasis"/>
          <w:color w:val="000000" w:themeColor="text1"/>
          <w:sz w:val="22"/>
          <w:szCs w:val="22"/>
          <w:lang w:val="en-GB"/>
        </w:rPr>
        <w:t>540</w:t>
      </w:r>
      <w:r w:rsidR="00F1521C" w:rsidRPr="00DC5622">
        <w:rPr>
          <w:rStyle w:val="Emphasis"/>
          <w:color w:val="000000" w:themeColor="text1"/>
          <w:sz w:val="22"/>
          <w:szCs w:val="22"/>
          <w:lang w:val="en-GB"/>
        </w:rPr>
        <w:t xml:space="preserve"> Days (</w:t>
      </w:r>
      <w:r w:rsidRPr="00DC5622">
        <w:rPr>
          <w:rStyle w:val="Emphasis"/>
          <w:color w:val="000000" w:themeColor="text1"/>
          <w:sz w:val="22"/>
          <w:szCs w:val="22"/>
          <w:lang w:val="en-GB"/>
        </w:rPr>
        <w:t xml:space="preserve">18 </w:t>
      </w:r>
      <w:r w:rsidR="00F1521C" w:rsidRPr="00DC5622">
        <w:rPr>
          <w:rStyle w:val="Emphasis"/>
          <w:color w:val="000000" w:themeColor="text1"/>
          <w:sz w:val="22"/>
          <w:szCs w:val="22"/>
          <w:lang w:val="en-GB"/>
        </w:rPr>
        <w:t>months)</w:t>
      </w:r>
    </w:p>
    <w:p w14:paraId="353D9F91" w14:textId="77777777" w:rsidR="00F1521C" w:rsidRDefault="00F1521C" w:rsidP="00AA22A5">
      <w:pPr>
        <w:keepNext/>
        <w:keepLines/>
        <w:rPr>
          <w:sz w:val="22"/>
          <w:szCs w:val="22"/>
          <w:lang w:val="en-GB"/>
        </w:rPr>
      </w:pPr>
    </w:p>
    <w:p w14:paraId="1EDB2E82" w14:textId="77777777" w:rsidR="00F1521C" w:rsidRDefault="00F1521C" w:rsidP="00AA22A5">
      <w:pPr>
        <w:keepNext/>
        <w:keepLines/>
        <w:rPr>
          <w:sz w:val="22"/>
          <w:szCs w:val="22"/>
          <w:lang w:val="en-GB"/>
        </w:rPr>
      </w:pPr>
    </w:p>
    <w:p w14:paraId="786316E8" w14:textId="43A4A859" w:rsidR="00AA22A5" w:rsidRPr="00DD2F41" w:rsidRDefault="00AA22A5" w:rsidP="00AA22A5">
      <w:pPr>
        <w:keepNext/>
        <w:keepLines/>
        <w:rPr>
          <w:sz w:val="22"/>
          <w:szCs w:val="22"/>
          <w:lang w:val="en-GB"/>
        </w:rPr>
      </w:pPr>
      <w:r>
        <w:rPr>
          <w:noProof/>
          <w:snapToGrid/>
          <w:sz w:val="22"/>
          <w:szCs w:val="22"/>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6C6CB4B0" w:rsidR="00AA22A5" w:rsidRPr="0022168F" w:rsidRDefault="00AA22A5" w:rsidP="00AA22A5">
      <w:pPr>
        <w:keepNext/>
        <w:keepLines/>
        <w:ind w:left="360"/>
        <w:jc w:val="center"/>
        <w:rPr>
          <w:rStyle w:val="Strong"/>
          <w:sz w:val="22"/>
          <w:szCs w:val="22"/>
          <w:lang w:val="en-GB"/>
        </w:rPr>
      </w:pPr>
      <w:r w:rsidRPr="00A94DC5">
        <w:rPr>
          <w:rStyle w:val="Strong"/>
          <w:sz w:val="22"/>
          <w:szCs w:val="22"/>
          <w:lang w:val="en-GB"/>
        </w:rPr>
        <w:t>SELECTION AND AWARD CRITERIA</w:t>
      </w:r>
    </w:p>
    <w:p w14:paraId="2945A4AD" w14:textId="77777777" w:rsidR="00AA22A5" w:rsidRPr="0022168F" w:rsidRDefault="00AA22A5" w:rsidP="0043633A">
      <w:pPr>
        <w:pStyle w:val="PRAGHeading2"/>
        <w:ind w:left="426" w:hanging="426"/>
        <w:rPr>
          <w:rStyle w:val="Strong"/>
          <w:sz w:val="22"/>
          <w:szCs w:val="22"/>
          <w:lang w:val="en-GB"/>
        </w:rPr>
      </w:pPr>
      <w:r w:rsidRPr="0022168F">
        <w:rPr>
          <w:rStyle w:val="Strong"/>
          <w:sz w:val="22"/>
          <w:szCs w:val="22"/>
          <w:lang w:val="en-GB"/>
        </w:rPr>
        <w:t>Selection criteria</w:t>
      </w:r>
    </w:p>
    <w:p w14:paraId="409ECB84" w14:textId="280A34B7" w:rsidR="00D23AC1" w:rsidRDefault="00D23AC1" w:rsidP="00F87B91">
      <w:pPr>
        <w:ind w:left="426" w:right="26"/>
        <w:jc w:val="both"/>
        <w:outlineLvl w:val="0"/>
        <w:rPr>
          <w:sz w:val="22"/>
          <w:szCs w:val="22"/>
          <w:lang w:val="en-GB"/>
        </w:rPr>
      </w:pPr>
    </w:p>
    <w:tbl>
      <w:tblPr>
        <w:tblStyle w:val="6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8868"/>
      </w:tblGrid>
      <w:tr w:rsidR="00F1521C" w:rsidRPr="009F7F96" w14:paraId="5A74D870" w14:textId="77777777" w:rsidTr="0087790F">
        <w:tc>
          <w:tcPr>
            <w:tcW w:w="708" w:type="dxa"/>
            <w:tcBorders>
              <w:top w:val="single" w:sz="4" w:space="0" w:color="000000"/>
              <w:left w:val="single" w:sz="4" w:space="0" w:color="000000"/>
              <w:bottom w:val="single" w:sz="4" w:space="0" w:color="000000"/>
              <w:right w:val="single" w:sz="4" w:space="0" w:color="000000"/>
            </w:tcBorders>
          </w:tcPr>
          <w:p w14:paraId="1B99646F" w14:textId="77777777" w:rsidR="00F1521C" w:rsidRPr="00662072" w:rsidRDefault="00F1521C" w:rsidP="0087790F">
            <w:pPr>
              <w:jc w:val="both"/>
              <w:rPr>
                <w:color w:val="000000" w:themeColor="text1"/>
                <w:szCs w:val="24"/>
              </w:rPr>
            </w:pPr>
            <w:r w:rsidRPr="00662072">
              <w:rPr>
                <w:color w:val="000000" w:themeColor="text1"/>
                <w:szCs w:val="24"/>
              </w:rPr>
              <w:t>1.1</w:t>
            </w:r>
          </w:p>
        </w:tc>
        <w:tc>
          <w:tcPr>
            <w:tcW w:w="8868" w:type="dxa"/>
            <w:tcBorders>
              <w:top w:val="single" w:sz="4" w:space="0" w:color="000000"/>
              <w:left w:val="single" w:sz="4" w:space="0" w:color="000000"/>
              <w:bottom w:val="single" w:sz="4" w:space="0" w:color="000000"/>
              <w:right w:val="single" w:sz="4" w:space="0" w:color="000000"/>
            </w:tcBorders>
          </w:tcPr>
          <w:p w14:paraId="66AEC97E" w14:textId="1DC25701" w:rsidR="00F1521C" w:rsidRPr="006B4F4E" w:rsidRDefault="00F1521C" w:rsidP="0043633A">
            <w:pPr>
              <w:jc w:val="both"/>
              <w:rPr>
                <w:color w:val="000000" w:themeColor="text1"/>
                <w:szCs w:val="24"/>
              </w:rPr>
            </w:pPr>
            <w:r w:rsidRPr="006B4F4E">
              <w:rPr>
                <w:color w:val="000000" w:themeColor="text1"/>
                <w:szCs w:val="24"/>
              </w:rPr>
              <w:t xml:space="preserve">Demonstrated ability to </w:t>
            </w:r>
            <w:r w:rsidR="00A812B5" w:rsidRPr="006B4F4E">
              <w:rPr>
                <w:color w:val="000000" w:themeColor="text1"/>
                <w:szCs w:val="24"/>
              </w:rPr>
              <w:t xml:space="preserve">manage contract of the same </w:t>
            </w:r>
            <w:r w:rsidR="00325936" w:rsidRPr="006B4F4E">
              <w:rPr>
                <w:color w:val="000000" w:themeColor="text1"/>
                <w:szCs w:val="24"/>
              </w:rPr>
              <w:t xml:space="preserve">volume and </w:t>
            </w:r>
            <w:r w:rsidRPr="006B4F4E">
              <w:rPr>
                <w:color w:val="000000" w:themeColor="text1"/>
                <w:szCs w:val="24"/>
              </w:rPr>
              <w:t xml:space="preserve">liabilities allocated to </w:t>
            </w:r>
            <w:r w:rsidR="0043633A">
              <w:rPr>
                <w:color w:val="000000" w:themeColor="text1"/>
                <w:szCs w:val="24"/>
              </w:rPr>
              <w:t>s</w:t>
            </w:r>
            <w:r w:rsidR="0043633A" w:rsidRPr="006B4F4E">
              <w:rPr>
                <w:color w:val="000000" w:themeColor="text1"/>
                <w:szCs w:val="24"/>
              </w:rPr>
              <w:t xml:space="preserve">upplier </w:t>
            </w:r>
            <w:r w:rsidRPr="006B4F4E">
              <w:rPr>
                <w:color w:val="000000" w:themeColor="text1"/>
                <w:szCs w:val="24"/>
              </w:rPr>
              <w:t xml:space="preserve">in this </w:t>
            </w:r>
            <w:r w:rsidR="00282D58" w:rsidRPr="006B4F4E">
              <w:rPr>
                <w:color w:val="000000" w:themeColor="text1"/>
                <w:szCs w:val="24"/>
              </w:rPr>
              <w:t>Tender</w:t>
            </w:r>
            <w:r w:rsidR="000F1052">
              <w:rPr>
                <w:color w:val="000000" w:themeColor="text1"/>
                <w:szCs w:val="24"/>
              </w:rPr>
              <w:t>. During the past three years</w:t>
            </w:r>
            <w:r w:rsidR="00282D58" w:rsidRPr="006B4F4E">
              <w:rPr>
                <w:color w:val="000000" w:themeColor="text1"/>
                <w:szCs w:val="24"/>
              </w:rPr>
              <w:t xml:space="preserve"> </w:t>
            </w:r>
            <w:r w:rsidRPr="006B4F4E">
              <w:rPr>
                <w:color w:val="000000" w:themeColor="text1"/>
                <w:szCs w:val="24"/>
              </w:rPr>
              <w:t>(e.g. financial, performance previous Experience, or insurance coverage, etc).</w:t>
            </w:r>
          </w:p>
        </w:tc>
      </w:tr>
      <w:tr w:rsidR="00F1521C" w:rsidRPr="009F7F96" w14:paraId="07224726" w14:textId="77777777" w:rsidTr="0087790F">
        <w:tc>
          <w:tcPr>
            <w:tcW w:w="708" w:type="dxa"/>
            <w:tcBorders>
              <w:top w:val="single" w:sz="4" w:space="0" w:color="000000"/>
              <w:left w:val="single" w:sz="4" w:space="0" w:color="000000"/>
              <w:bottom w:val="single" w:sz="4" w:space="0" w:color="000000"/>
              <w:right w:val="single" w:sz="4" w:space="0" w:color="000000"/>
            </w:tcBorders>
          </w:tcPr>
          <w:p w14:paraId="4FA02F95" w14:textId="77777777" w:rsidR="00F1521C" w:rsidRPr="00662072" w:rsidRDefault="00F1521C" w:rsidP="0087790F">
            <w:pPr>
              <w:jc w:val="both"/>
              <w:rPr>
                <w:color w:val="000000" w:themeColor="text1"/>
                <w:szCs w:val="24"/>
              </w:rPr>
            </w:pPr>
            <w:r w:rsidRPr="00662072">
              <w:rPr>
                <w:color w:val="000000" w:themeColor="text1"/>
                <w:szCs w:val="24"/>
              </w:rPr>
              <w:t>1.2</w:t>
            </w:r>
          </w:p>
        </w:tc>
        <w:tc>
          <w:tcPr>
            <w:tcW w:w="8868" w:type="dxa"/>
            <w:tcBorders>
              <w:top w:val="single" w:sz="4" w:space="0" w:color="000000"/>
              <w:left w:val="single" w:sz="4" w:space="0" w:color="000000"/>
              <w:bottom w:val="single" w:sz="4" w:space="0" w:color="000000"/>
              <w:right w:val="single" w:sz="4" w:space="0" w:color="000000"/>
            </w:tcBorders>
          </w:tcPr>
          <w:p w14:paraId="4F4E3A60" w14:textId="5AA869A1" w:rsidR="00F1521C" w:rsidRPr="0048313F" w:rsidRDefault="00F1521C" w:rsidP="00282D58">
            <w:pPr>
              <w:jc w:val="both"/>
              <w:rPr>
                <w:color w:val="000000" w:themeColor="text1"/>
                <w:szCs w:val="24"/>
              </w:rPr>
            </w:pPr>
            <w:r w:rsidRPr="0048313F">
              <w:rPr>
                <w:color w:val="000000" w:themeColor="text1"/>
                <w:szCs w:val="24"/>
              </w:rPr>
              <w:t xml:space="preserve">The time schedule for supply, transportation, installation, commissioning, documents and training complies with the deadlines set in the </w:t>
            </w:r>
            <w:r w:rsidR="00282D58" w:rsidRPr="0048313F">
              <w:rPr>
                <w:color w:val="000000" w:themeColor="text1"/>
                <w:szCs w:val="24"/>
              </w:rPr>
              <w:t>Tender</w:t>
            </w:r>
            <w:r w:rsidRPr="0048313F">
              <w:rPr>
                <w:color w:val="000000" w:themeColor="text1"/>
                <w:szCs w:val="24"/>
              </w:rPr>
              <w:t>.</w:t>
            </w:r>
          </w:p>
        </w:tc>
      </w:tr>
      <w:tr w:rsidR="00F1521C" w:rsidRPr="009F7F96" w14:paraId="6F1118B1" w14:textId="77777777" w:rsidTr="0087790F">
        <w:tc>
          <w:tcPr>
            <w:tcW w:w="708" w:type="dxa"/>
            <w:tcBorders>
              <w:top w:val="single" w:sz="4" w:space="0" w:color="000000"/>
              <w:left w:val="single" w:sz="4" w:space="0" w:color="000000"/>
              <w:bottom w:val="nil"/>
              <w:right w:val="single" w:sz="4" w:space="0" w:color="000000"/>
            </w:tcBorders>
          </w:tcPr>
          <w:p w14:paraId="49104137" w14:textId="77777777" w:rsidR="00F1521C" w:rsidRPr="00662072" w:rsidRDefault="00F1521C" w:rsidP="0087790F">
            <w:pPr>
              <w:jc w:val="both"/>
              <w:rPr>
                <w:color w:val="000000" w:themeColor="text1"/>
                <w:szCs w:val="24"/>
              </w:rPr>
            </w:pPr>
            <w:r w:rsidRPr="00662072">
              <w:rPr>
                <w:color w:val="000000" w:themeColor="text1"/>
                <w:szCs w:val="24"/>
              </w:rPr>
              <w:t>1.3</w:t>
            </w:r>
          </w:p>
        </w:tc>
        <w:tc>
          <w:tcPr>
            <w:tcW w:w="8868" w:type="dxa"/>
            <w:tcBorders>
              <w:top w:val="single" w:sz="4" w:space="0" w:color="000000"/>
              <w:left w:val="single" w:sz="4" w:space="0" w:color="000000"/>
              <w:bottom w:val="nil"/>
              <w:right w:val="single" w:sz="4" w:space="0" w:color="000000"/>
            </w:tcBorders>
          </w:tcPr>
          <w:p w14:paraId="0FA2AE9B" w14:textId="691BB5E6" w:rsidR="00F1521C" w:rsidRPr="00662072" w:rsidRDefault="00FC4164" w:rsidP="008A63E4">
            <w:pPr>
              <w:jc w:val="both"/>
              <w:rPr>
                <w:color w:val="000000" w:themeColor="text1"/>
                <w:szCs w:val="24"/>
              </w:rPr>
            </w:pPr>
            <w:r>
              <w:rPr>
                <w:color w:val="000000" w:themeColor="text1"/>
                <w:szCs w:val="24"/>
              </w:rPr>
              <w:t>Previous project that prove experience and capacity in b</w:t>
            </w:r>
            <w:r w:rsidRPr="00FC4164">
              <w:rPr>
                <w:color w:val="000000" w:themeColor="text1"/>
                <w:szCs w:val="24"/>
              </w:rPr>
              <w:t xml:space="preserve">ack up photovoltaic micro power plants of 1 800 Wp (PV 15) or 1 125 Wp (PV 10)  </w:t>
            </w:r>
            <w:r w:rsidR="00F1521C" w:rsidRPr="00662072">
              <w:rPr>
                <w:color w:val="000000" w:themeColor="text1"/>
                <w:szCs w:val="24"/>
              </w:rPr>
              <w:t xml:space="preserve">in the </w:t>
            </w:r>
            <w:r>
              <w:rPr>
                <w:color w:val="000000" w:themeColor="text1"/>
                <w:szCs w:val="24"/>
              </w:rPr>
              <w:t>region</w:t>
            </w:r>
            <w:r w:rsidRPr="00662072">
              <w:rPr>
                <w:color w:val="000000" w:themeColor="text1"/>
                <w:szCs w:val="24"/>
              </w:rPr>
              <w:t xml:space="preserve"> </w:t>
            </w:r>
            <w:r w:rsidR="00F1521C" w:rsidRPr="00662072">
              <w:rPr>
                <w:color w:val="000000" w:themeColor="text1"/>
                <w:szCs w:val="24"/>
              </w:rPr>
              <w:t>and also the availability of equipment of the same basic design and similar size to operate correctly in the indicated environmental and climatic conditions successfully for at least 3 years.</w:t>
            </w:r>
          </w:p>
        </w:tc>
      </w:tr>
      <w:tr w:rsidR="00F1521C" w:rsidRPr="009F7F96" w14:paraId="680A5855" w14:textId="77777777" w:rsidTr="0087790F">
        <w:tc>
          <w:tcPr>
            <w:tcW w:w="708" w:type="dxa"/>
            <w:tcBorders>
              <w:top w:val="single" w:sz="4" w:space="0" w:color="000000"/>
              <w:left w:val="single" w:sz="4" w:space="0" w:color="000000"/>
              <w:bottom w:val="nil"/>
              <w:right w:val="single" w:sz="4" w:space="0" w:color="000000"/>
            </w:tcBorders>
          </w:tcPr>
          <w:p w14:paraId="7DED3AD4" w14:textId="77777777" w:rsidR="00F1521C" w:rsidRPr="00662072" w:rsidRDefault="00F1521C" w:rsidP="0087790F">
            <w:pPr>
              <w:jc w:val="both"/>
              <w:rPr>
                <w:color w:val="000000" w:themeColor="text1"/>
                <w:szCs w:val="24"/>
              </w:rPr>
            </w:pPr>
            <w:r w:rsidRPr="00662072">
              <w:rPr>
                <w:color w:val="000000" w:themeColor="text1"/>
                <w:szCs w:val="24"/>
              </w:rPr>
              <w:t>1.4</w:t>
            </w:r>
          </w:p>
        </w:tc>
        <w:tc>
          <w:tcPr>
            <w:tcW w:w="8868" w:type="dxa"/>
            <w:tcBorders>
              <w:top w:val="single" w:sz="4" w:space="0" w:color="000000"/>
              <w:left w:val="single" w:sz="4" w:space="0" w:color="000000"/>
              <w:bottom w:val="nil"/>
              <w:right w:val="single" w:sz="4" w:space="0" w:color="000000"/>
            </w:tcBorders>
          </w:tcPr>
          <w:p w14:paraId="10F6D306" w14:textId="566F0870" w:rsidR="00F1521C" w:rsidRPr="00662072" w:rsidRDefault="00F1521C" w:rsidP="00A9572C">
            <w:pPr>
              <w:jc w:val="both"/>
              <w:rPr>
                <w:color w:val="000000" w:themeColor="text1"/>
                <w:szCs w:val="24"/>
              </w:rPr>
            </w:pPr>
            <w:r w:rsidRPr="00662072">
              <w:rPr>
                <w:color w:val="000000" w:themeColor="text1"/>
                <w:szCs w:val="24"/>
              </w:rPr>
              <w:t xml:space="preserve">Proof of after-sales service capacity and appropriateness of local service and technical </w:t>
            </w:r>
            <w:r w:rsidRPr="00FC1FF0">
              <w:rPr>
                <w:color w:val="000000" w:themeColor="text1"/>
                <w:szCs w:val="24"/>
              </w:rPr>
              <w:t xml:space="preserve">support available in </w:t>
            </w:r>
            <w:r w:rsidR="00A9572C" w:rsidRPr="003D41C2">
              <w:rPr>
                <w:szCs w:val="24"/>
              </w:rPr>
              <w:t>the region</w:t>
            </w:r>
            <w:r w:rsidRPr="00FC1FF0">
              <w:rPr>
                <w:color w:val="000000" w:themeColor="text1"/>
                <w:szCs w:val="24"/>
              </w:rPr>
              <w:t>.</w:t>
            </w:r>
            <w:r w:rsidR="006B4F4E">
              <w:rPr>
                <w:color w:val="000000" w:themeColor="text1"/>
                <w:szCs w:val="24"/>
              </w:rPr>
              <w:t xml:space="preserve"> </w:t>
            </w:r>
            <w:r w:rsidR="00B00142">
              <w:rPr>
                <w:color w:val="000000" w:themeColor="text1"/>
                <w:szCs w:val="24"/>
              </w:rPr>
              <w:t xml:space="preserve">Are requested in </w:t>
            </w:r>
            <w:r w:rsidR="00B00142" w:rsidRPr="00B00142">
              <w:rPr>
                <w:color w:val="000000" w:themeColor="text1"/>
                <w:szCs w:val="24"/>
              </w:rPr>
              <w:t>Article 19</w:t>
            </w:r>
            <w:r w:rsidR="00B00142">
              <w:rPr>
                <w:color w:val="000000" w:themeColor="text1"/>
                <w:szCs w:val="24"/>
              </w:rPr>
              <w:t xml:space="preserve"> </w:t>
            </w:r>
            <w:r w:rsidR="00B00142" w:rsidRPr="00B00142">
              <w:rPr>
                <w:color w:val="000000" w:themeColor="text1"/>
                <w:szCs w:val="24"/>
              </w:rPr>
              <w:t>After-sales service</w:t>
            </w:r>
            <w:r w:rsidR="00B00142">
              <w:rPr>
                <w:color w:val="000000" w:themeColor="text1"/>
                <w:szCs w:val="24"/>
              </w:rPr>
              <w:t xml:space="preserve"> (Special conditions c4d)</w:t>
            </w:r>
            <w:r w:rsidR="00815C22">
              <w:rPr>
                <w:color w:val="000000" w:themeColor="text1"/>
                <w:szCs w:val="24"/>
              </w:rPr>
              <w:t>. Capacity to provide the training requested.</w:t>
            </w:r>
          </w:p>
        </w:tc>
      </w:tr>
      <w:tr w:rsidR="00F1521C" w:rsidRPr="009F7F96" w14:paraId="1D8EBF08" w14:textId="77777777" w:rsidTr="0087790F">
        <w:tc>
          <w:tcPr>
            <w:tcW w:w="708" w:type="dxa"/>
            <w:tcBorders>
              <w:top w:val="single" w:sz="4" w:space="0" w:color="000000"/>
              <w:left w:val="single" w:sz="4" w:space="0" w:color="000000"/>
              <w:bottom w:val="nil"/>
              <w:right w:val="single" w:sz="4" w:space="0" w:color="000000"/>
            </w:tcBorders>
          </w:tcPr>
          <w:p w14:paraId="6FEB95D5" w14:textId="77777777" w:rsidR="00F1521C" w:rsidRPr="00662072" w:rsidRDefault="00F1521C" w:rsidP="0087790F">
            <w:pPr>
              <w:jc w:val="both"/>
              <w:rPr>
                <w:color w:val="000000" w:themeColor="text1"/>
                <w:szCs w:val="24"/>
              </w:rPr>
            </w:pPr>
            <w:r w:rsidRPr="00662072">
              <w:rPr>
                <w:color w:val="000000" w:themeColor="text1"/>
                <w:szCs w:val="24"/>
              </w:rPr>
              <w:t>1.5</w:t>
            </w:r>
          </w:p>
        </w:tc>
        <w:tc>
          <w:tcPr>
            <w:tcW w:w="8868" w:type="dxa"/>
            <w:tcBorders>
              <w:top w:val="single" w:sz="4" w:space="0" w:color="000000"/>
              <w:left w:val="single" w:sz="4" w:space="0" w:color="000000"/>
              <w:bottom w:val="nil"/>
              <w:right w:val="single" w:sz="4" w:space="0" w:color="000000"/>
            </w:tcBorders>
          </w:tcPr>
          <w:p w14:paraId="3BE00E3B" w14:textId="5CFD6D35" w:rsidR="00F1521C" w:rsidRPr="00662072" w:rsidRDefault="00F1521C" w:rsidP="00A07901">
            <w:pPr>
              <w:jc w:val="both"/>
              <w:rPr>
                <w:color w:val="000000" w:themeColor="text1"/>
                <w:szCs w:val="24"/>
              </w:rPr>
            </w:pPr>
            <w:r w:rsidRPr="006B4F4E">
              <w:rPr>
                <w:szCs w:val="24"/>
              </w:rPr>
              <w:t xml:space="preserve">The Organization and Methodology approach proposed for this Contract has the necessary general management skills and team composition of the organizational units for a project of this </w:t>
            </w:r>
            <w:r w:rsidR="003D41C2" w:rsidRPr="006B4F4E">
              <w:rPr>
                <w:szCs w:val="24"/>
              </w:rPr>
              <w:t>kind.</w:t>
            </w:r>
            <w:r w:rsidR="003D41C2" w:rsidRPr="008C4C0D">
              <w:rPr>
                <w:rStyle w:val="CommentReference"/>
              </w:rPr>
              <w:t xml:space="preserve"> </w:t>
            </w:r>
            <w:r w:rsidR="003D41C2" w:rsidRPr="006B4F4E">
              <w:rPr>
                <w:szCs w:val="24"/>
              </w:rPr>
              <w:t>Total</w:t>
            </w:r>
            <w:r w:rsidR="00A07901" w:rsidRPr="006B4F4E">
              <w:rPr>
                <w:szCs w:val="24"/>
              </w:rPr>
              <w:t xml:space="preserve"> number of the staff and role of each staff implementing this project</w:t>
            </w:r>
            <w:r w:rsidR="006B4F4E">
              <w:rPr>
                <w:szCs w:val="24"/>
              </w:rPr>
              <w:t>.</w:t>
            </w:r>
          </w:p>
        </w:tc>
      </w:tr>
      <w:tr w:rsidR="00F1521C" w:rsidRPr="009F7F96" w14:paraId="118D59AB" w14:textId="77777777" w:rsidTr="0087790F">
        <w:tc>
          <w:tcPr>
            <w:tcW w:w="708" w:type="dxa"/>
            <w:tcBorders>
              <w:top w:val="single" w:sz="4" w:space="0" w:color="000000"/>
              <w:left w:val="single" w:sz="4" w:space="0" w:color="000000"/>
              <w:bottom w:val="nil"/>
              <w:right w:val="single" w:sz="4" w:space="0" w:color="000000"/>
            </w:tcBorders>
          </w:tcPr>
          <w:p w14:paraId="08436855" w14:textId="77777777" w:rsidR="00F1521C" w:rsidRPr="00662072" w:rsidRDefault="00F1521C" w:rsidP="0087790F">
            <w:pPr>
              <w:jc w:val="both"/>
              <w:rPr>
                <w:color w:val="000000" w:themeColor="text1"/>
                <w:szCs w:val="24"/>
              </w:rPr>
            </w:pPr>
            <w:r w:rsidRPr="00662072">
              <w:rPr>
                <w:color w:val="000000" w:themeColor="text1"/>
                <w:szCs w:val="24"/>
              </w:rPr>
              <w:t>1.6</w:t>
            </w:r>
          </w:p>
        </w:tc>
        <w:tc>
          <w:tcPr>
            <w:tcW w:w="8868" w:type="dxa"/>
            <w:tcBorders>
              <w:top w:val="single" w:sz="4" w:space="0" w:color="000000"/>
              <w:left w:val="single" w:sz="4" w:space="0" w:color="000000"/>
              <w:bottom w:val="nil"/>
              <w:right w:val="single" w:sz="4" w:space="0" w:color="000000"/>
            </w:tcBorders>
          </w:tcPr>
          <w:p w14:paraId="1D0630DD" w14:textId="28217386" w:rsidR="00F1521C" w:rsidRPr="00662072" w:rsidRDefault="00F1521C" w:rsidP="0087790F">
            <w:pPr>
              <w:jc w:val="both"/>
              <w:rPr>
                <w:color w:val="000000" w:themeColor="text1"/>
                <w:szCs w:val="24"/>
              </w:rPr>
            </w:pPr>
            <w:r w:rsidRPr="00662072">
              <w:rPr>
                <w:color w:val="000000" w:themeColor="text1"/>
                <w:szCs w:val="24"/>
              </w:rPr>
              <w:t xml:space="preserve">The CVs of the Key Staff </w:t>
            </w:r>
            <w:r w:rsidR="009B1463" w:rsidRPr="00662072">
              <w:rPr>
                <w:color w:val="000000" w:themeColor="text1"/>
                <w:szCs w:val="24"/>
              </w:rPr>
              <w:t>(at least 2 CV’s)</w:t>
            </w:r>
            <w:r w:rsidRPr="00662072">
              <w:rPr>
                <w:color w:val="000000" w:themeColor="text1"/>
                <w:szCs w:val="24"/>
              </w:rPr>
              <w:t>(specialized engineers, technicians and/or skilled workers) proposed for the main tasks have the qualifications and experience in the installation of photovoltaic back-up systems.</w:t>
            </w:r>
          </w:p>
        </w:tc>
      </w:tr>
      <w:tr w:rsidR="00F1521C" w:rsidRPr="009F7F96" w14:paraId="7D20CD16" w14:textId="77777777" w:rsidTr="0087790F">
        <w:tc>
          <w:tcPr>
            <w:tcW w:w="708" w:type="dxa"/>
            <w:tcBorders>
              <w:top w:val="single" w:sz="4" w:space="0" w:color="000000"/>
              <w:left w:val="single" w:sz="4" w:space="0" w:color="000000"/>
              <w:bottom w:val="single" w:sz="4" w:space="0" w:color="000000"/>
              <w:right w:val="single" w:sz="4" w:space="0" w:color="000000"/>
            </w:tcBorders>
          </w:tcPr>
          <w:p w14:paraId="76B59E41" w14:textId="77777777" w:rsidR="00F1521C" w:rsidRPr="00662072" w:rsidRDefault="00F1521C" w:rsidP="0087790F">
            <w:pPr>
              <w:jc w:val="both"/>
              <w:rPr>
                <w:color w:val="000000" w:themeColor="text1"/>
                <w:szCs w:val="24"/>
              </w:rPr>
            </w:pPr>
            <w:r w:rsidRPr="00662072">
              <w:rPr>
                <w:color w:val="000000" w:themeColor="text1"/>
                <w:szCs w:val="24"/>
              </w:rPr>
              <w:t>1.7</w:t>
            </w:r>
          </w:p>
        </w:tc>
        <w:tc>
          <w:tcPr>
            <w:tcW w:w="8868" w:type="dxa"/>
            <w:tcBorders>
              <w:top w:val="single" w:sz="4" w:space="0" w:color="000000"/>
              <w:left w:val="single" w:sz="4" w:space="0" w:color="000000"/>
              <w:bottom w:val="single" w:sz="4" w:space="0" w:color="000000"/>
              <w:right w:val="single" w:sz="4" w:space="0" w:color="000000"/>
            </w:tcBorders>
          </w:tcPr>
          <w:p w14:paraId="3085191A" w14:textId="0560DC06" w:rsidR="00F1521C" w:rsidRPr="00662072" w:rsidRDefault="00F1521C" w:rsidP="00282D58">
            <w:pPr>
              <w:jc w:val="both"/>
              <w:rPr>
                <w:color w:val="000000" w:themeColor="text1"/>
                <w:szCs w:val="24"/>
              </w:rPr>
            </w:pPr>
            <w:r w:rsidRPr="00662072">
              <w:rPr>
                <w:color w:val="000000" w:themeColor="text1"/>
                <w:szCs w:val="24"/>
              </w:rPr>
              <w:t xml:space="preserve">The technical description of equipment’s complies with the requirements of performance and size of the </w:t>
            </w:r>
            <w:r w:rsidR="00282D58" w:rsidRPr="00662072">
              <w:rPr>
                <w:color w:val="000000" w:themeColor="text1"/>
                <w:szCs w:val="24"/>
              </w:rPr>
              <w:t>Tender</w:t>
            </w:r>
            <w:r w:rsidRPr="00662072">
              <w:rPr>
                <w:color w:val="000000" w:themeColor="text1"/>
                <w:szCs w:val="24"/>
              </w:rPr>
              <w:t xml:space="preserve">. </w:t>
            </w:r>
          </w:p>
        </w:tc>
      </w:tr>
      <w:tr w:rsidR="00F1521C" w:rsidRPr="009F7F96" w14:paraId="153D1561" w14:textId="77777777" w:rsidTr="0087790F">
        <w:tc>
          <w:tcPr>
            <w:tcW w:w="708" w:type="dxa"/>
            <w:tcBorders>
              <w:top w:val="single" w:sz="4" w:space="0" w:color="000000"/>
              <w:left w:val="single" w:sz="4" w:space="0" w:color="000000"/>
              <w:bottom w:val="nil"/>
              <w:right w:val="single" w:sz="4" w:space="0" w:color="000000"/>
            </w:tcBorders>
          </w:tcPr>
          <w:p w14:paraId="6E68D29B" w14:textId="77777777" w:rsidR="00F1521C" w:rsidRPr="00662072" w:rsidRDefault="00F1521C" w:rsidP="0087790F">
            <w:pPr>
              <w:jc w:val="both"/>
              <w:rPr>
                <w:color w:val="000000" w:themeColor="text1"/>
                <w:szCs w:val="24"/>
              </w:rPr>
            </w:pPr>
            <w:r w:rsidRPr="00662072">
              <w:rPr>
                <w:color w:val="000000" w:themeColor="text1"/>
                <w:szCs w:val="24"/>
              </w:rPr>
              <w:t>1.8</w:t>
            </w:r>
          </w:p>
        </w:tc>
        <w:tc>
          <w:tcPr>
            <w:tcW w:w="8868" w:type="dxa"/>
            <w:tcBorders>
              <w:top w:val="single" w:sz="4" w:space="0" w:color="000000"/>
              <w:left w:val="single" w:sz="4" w:space="0" w:color="000000"/>
              <w:bottom w:val="nil"/>
              <w:right w:val="single" w:sz="4" w:space="0" w:color="000000"/>
            </w:tcBorders>
          </w:tcPr>
          <w:p w14:paraId="466469D6" w14:textId="1630632B" w:rsidR="00F1521C" w:rsidRPr="00662072" w:rsidRDefault="00F1521C" w:rsidP="009B1463">
            <w:pPr>
              <w:jc w:val="both"/>
              <w:rPr>
                <w:color w:val="000000" w:themeColor="text1"/>
                <w:szCs w:val="24"/>
              </w:rPr>
            </w:pPr>
            <w:r w:rsidRPr="00662072">
              <w:rPr>
                <w:color w:val="000000" w:themeColor="text1"/>
                <w:szCs w:val="24"/>
              </w:rPr>
              <w:t xml:space="preserve">Data sheets, Catalogues and certificates of conformity for the main components (PV modules, battery, inverter…) meet or exceed the requirements of this </w:t>
            </w:r>
            <w:r w:rsidR="009B1463" w:rsidRPr="00662072">
              <w:rPr>
                <w:color w:val="000000" w:themeColor="text1"/>
                <w:szCs w:val="24"/>
              </w:rPr>
              <w:t>Tender</w:t>
            </w:r>
            <w:r w:rsidRPr="00662072">
              <w:rPr>
                <w:color w:val="000000" w:themeColor="text1"/>
                <w:szCs w:val="24"/>
              </w:rPr>
              <w:t xml:space="preserve"> and relevant international performance standards.</w:t>
            </w:r>
          </w:p>
        </w:tc>
      </w:tr>
      <w:tr w:rsidR="00F1521C" w:rsidRPr="009F7F96" w14:paraId="0AEE4E0A" w14:textId="77777777" w:rsidTr="0087790F">
        <w:trPr>
          <w:trHeight w:val="763"/>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8677423" w14:textId="40A08904" w:rsidR="00F1521C" w:rsidRPr="00662072" w:rsidRDefault="00F1521C" w:rsidP="006B4F4E">
            <w:pPr>
              <w:jc w:val="both"/>
              <w:rPr>
                <w:color w:val="000000" w:themeColor="text1"/>
                <w:szCs w:val="24"/>
              </w:rPr>
            </w:pPr>
            <w:r w:rsidRPr="00662072">
              <w:rPr>
                <w:color w:val="000000" w:themeColor="text1"/>
                <w:szCs w:val="24"/>
              </w:rPr>
              <w:t>1.</w:t>
            </w:r>
            <w:r w:rsidR="006B4F4E">
              <w:rPr>
                <w:color w:val="000000" w:themeColor="text1"/>
                <w:szCs w:val="24"/>
              </w:rPr>
              <w:t>9</w:t>
            </w:r>
          </w:p>
        </w:tc>
        <w:tc>
          <w:tcPr>
            <w:tcW w:w="8868" w:type="dxa"/>
            <w:tcBorders>
              <w:top w:val="single" w:sz="4" w:space="0" w:color="000000"/>
              <w:left w:val="single" w:sz="4" w:space="0" w:color="000000"/>
              <w:bottom w:val="single" w:sz="4" w:space="0" w:color="000000"/>
              <w:right w:val="single" w:sz="4" w:space="0" w:color="000000"/>
            </w:tcBorders>
            <w:shd w:val="clear" w:color="auto" w:fill="auto"/>
          </w:tcPr>
          <w:p w14:paraId="63DF5C8C" w14:textId="5BFF2E4D" w:rsidR="00F1521C" w:rsidRPr="00662072" w:rsidRDefault="008A67AA" w:rsidP="008A67AA">
            <w:pPr>
              <w:jc w:val="both"/>
              <w:rPr>
                <w:rStyle w:val="Strong"/>
                <w:b w:val="0"/>
                <w:color w:val="000000" w:themeColor="text1"/>
                <w:szCs w:val="24"/>
                <w:lang w:val="en-GB"/>
              </w:rPr>
            </w:pPr>
            <w:r w:rsidRPr="00662072">
              <w:rPr>
                <w:rStyle w:val="Strong"/>
                <w:b w:val="0"/>
                <w:color w:val="000000" w:themeColor="text1"/>
                <w:szCs w:val="24"/>
              </w:rPr>
              <w:t>Written p</w:t>
            </w:r>
            <w:r w:rsidR="00F1521C" w:rsidRPr="00662072">
              <w:rPr>
                <w:rStyle w:val="Strong"/>
                <w:b w:val="0"/>
                <w:color w:val="000000" w:themeColor="text1"/>
                <w:szCs w:val="24"/>
                <w:lang w:val="en-GB"/>
              </w:rPr>
              <w:t>roof of understanding of specific bank restricti</w:t>
            </w:r>
            <w:r w:rsidRPr="00662072">
              <w:rPr>
                <w:rStyle w:val="Strong"/>
                <w:b w:val="0"/>
                <w:color w:val="000000" w:themeColor="text1"/>
                <w:szCs w:val="24"/>
                <w:lang w:val="en-GB"/>
              </w:rPr>
              <w:t xml:space="preserve">on effecting Lebanon, and </w:t>
            </w:r>
            <w:r w:rsidR="00F1521C" w:rsidRPr="00662072">
              <w:rPr>
                <w:rStyle w:val="Strong"/>
                <w:b w:val="0"/>
                <w:color w:val="000000" w:themeColor="text1"/>
                <w:szCs w:val="24"/>
                <w:lang w:val="en-GB"/>
              </w:rPr>
              <w:t>capacity t</w:t>
            </w:r>
            <w:r w:rsidRPr="00662072">
              <w:rPr>
                <w:rStyle w:val="Strong"/>
                <w:b w:val="0"/>
                <w:color w:val="000000" w:themeColor="text1"/>
                <w:szCs w:val="24"/>
                <w:lang w:val="en-GB"/>
              </w:rPr>
              <w:t>o operate in such circumstances.</w:t>
            </w:r>
          </w:p>
        </w:tc>
      </w:tr>
    </w:tbl>
    <w:p w14:paraId="26F2551B" w14:textId="0CE39F6A" w:rsidR="00D23AC1" w:rsidRDefault="00D23AC1" w:rsidP="00AA22A5">
      <w:pPr>
        <w:pStyle w:val="Blockquote"/>
        <w:ind w:left="1418" w:hanging="283"/>
        <w:jc w:val="both"/>
        <w:rPr>
          <w:sz w:val="22"/>
          <w:szCs w:val="22"/>
        </w:rPr>
      </w:pPr>
    </w:p>
    <w:p w14:paraId="13674A73" w14:textId="77777777" w:rsidR="00707372" w:rsidRDefault="00707372" w:rsidP="00AA22A5">
      <w:pPr>
        <w:pStyle w:val="Blockquote"/>
        <w:ind w:left="1418" w:hanging="283"/>
        <w:jc w:val="both"/>
        <w:rPr>
          <w:sz w:val="22"/>
          <w:szCs w:val="22"/>
        </w:rPr>
      </w:pPr>
    </w:p>
    <w:p w14:paraId="1CD2C822" w14:textId="77777777" w:rsidR="00D67B78" w:rsidRPr="00F1521C" w:rsidRDefault="00D67B78" w:rsidP="00AA22A5">
      <w:pPr>
        <w:pStyle w:val="Blockquote"/>
        <w:ind w:left="1418" w:hanging="283"/>
        <w:jc w:val="both"/>
        <w:rPr>
          <w:sz w:val="22"/>
          <w:szCs w:val="22"/>
        </w:rPr>
      </w:pP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3D57D7EF" w14:textId="4F6C195D" w:rsidR="00147087" w:rsidRPr="005E16DC" w:rsidRDefault="008C75BB" w:rsidP="005B6500">
      <w:pPr>
        <w:pStyle w:val="Blockquote"/>
        <w:ind w:left="426"/>
        <w:rPr>
          <w:sz w:val="20"/>
          <w:lang w:val="en-GB"/>
        </w:rPr>
      </w:pPr>
      <w:r w:rsidRPr="005E16DC">
        <w:rPr>
          <w:sz w:val="22"/>
          <w:szCs w:val="22"/>
          <w:lang w:val="en-GB"/>
        </w:rPr>
        <w:t>Price</w:t>
      </w:r>
      <w:r w:rsidR="00D67B78" w:rsidRPr="005E16DC">
        <w:rPr>
          <w:sz w:val="22"/>
          <w:szCs w:val="22"/>
          <w:lang w:val="en-GB"/>
        </w:rPr>
        <w:t>.</w:t>
      </w:r>
    </w:p>
    <w:p w14:paraId="02A922CD" w14:textId="77777777" w:rsidR="00AA22A5" w:rsidRPr="00DD2F41" w:rsidRDefault="00AA22A5" w:rsidP="00AA22A5">
      <w:pPr>
        <w:rPr>
          <w:sz w:val="22"/>
          <w:szCs w:val="22"/>
          <w:lang w:val="en-GB"/>
        </w:rPr>
      </w:pPr>
      <w:r>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77777777" w:rsidR="00AA22A5" w:rsidRDefault="00AA22A5" w:rsidP="00AA22A5">
      <w:pPr>
        <w:pStyle w:val="PRAGHeading2"/>
        <w:numPr>
          <w:ilvl w:val="0"/>
          <w:numId w:val="0"/>
        </w:numPr>
        <w:spacing w:after="240"/>
        <w:ind w:left="284"/>
        <w:jc w:val="center"/>
        <w:rPr>
          <w:rStyle w:val="Strong"/>
          <w:sz w:val="22"/>
          <w:szCs w:val="22"/>
          <w:lang w:val="en-GB"/>
        </w:rPr>
      </w:pPr>
      <w:r>
        <w:rPr>
          <w:rStyle w:val="Strong"/>
          <w:sz w:val="22"/>
          <w:szCs w:val="22"/>
          <w:lang w:val="en-GB"/>
        </w:rPr>
        <w:lastRenderedPageBreak/>
        <w:t>APPLICATION</w:t>
      </w:r>
      <w:r w:rsidR="00E23C0A">
        <w:rPr>
          <w:rStyle w:val="Strong"/>
          <w:sz w:val="22"/>
          <w:szCs w:val="22"/>
          <w:lang w:val="en-GB"/>
        </w:rPr>
        <w:t xml:space="preserve"> AND TENDERING</w:t>
      </w:r>
    </w:p>
    <w:p w14:paraId="193EF262" w14:textId="77777777" w:rsidR="009F4C6C" w:rsidRPr="00FA24DB" w:rsidRDefault="009F4C6C" w:rsidP="00AA22A5">
      <w:pPr>
        <w:pStyle w:val="PRAGHeading2"/>
        <w:numPr>
          <w:ilvl w:val="0"/>
          <w:numId w:val="0"/>
        </w:numPr>
        <w:spacing w:after="240"/>
        <w:ind w:left="284"/>
        <w:jc w:val="center"/>
        <w:rPr>
          <w:rStyle w:val="Strong"/>
          <w:sz w:val="22"/>
          <w:szCs w:val="22"/>
          <w:lang w:val="en-IE"/>
        </w:rPr>
      </w:pPr>
    </w:p>
    <w:p w14:paraId="1EE5607C" w14:textId="6454A90E" w:rsidR="00B03D4C" w:rsidRPr="0052446D" w:rsidRDefault="00B03D4C" w:rsidP="005B6500">
      <w:pPr>
        <w:pStyle w:val="PRAGHeading2"/>
        <w:ind w:left="426" w:hanging="426"/>
        <w:jc w:val="both"/>
        <w:rPr>
          <w:rStyle w:val="Strong"/>
          <w:color w:val="000000" w:themeColor="text1"/>
          <w:sz w:val="22"/>
          <w:szCs w:val="22"/>
          <w:lang w:val="en-GB"/>
        </w:rPr>
      </w:pPr>
      <w:r w:rsidRPr="0052446D">
        <w:rPr>
          <w:rStyle w:val="Strong"/>
          <w:color w:val="000000" w:themeColor="text1"/>
          <w:sz w:val="22"/>
          <w:szCs w:val="22"/>
          <w:lang w:val="en-GB"/>
        </w:rPr>
        <w:t xml:space="preserve">How to obtain the tender </w:t>
      </w:r>
      <w:r w:rsidR="00707372" w:rsidRPr="0052446D">
        <w:rPr>
          <w:rStyle w:val="Strong"/>
          <w:color w:val="000000" w:themeColor="text1"/>
          <w:sz w:val="22"/>
          <w:szCs w:val="22"/>
          <w:lang w:val="en-GB"/>
        </w:rPr>
        <w:t>dossier?</w:t>
      </w:r>
    </w:p>
    <w:p w14:paraId="13C6B4EA" w14:textId="4EAA96EC" w:rsidR="00560B95" w:rsidRPr="0052446D" w:rsidRDefault="00560B95" w:rsidP="001E6581">
      <w:pPr>
        <w:pStyle w:val="Blockquote"/>
        <w:ind w:left="426" w:right="-48"/>
        <w:jc w:val="both"/>
        <w:rPr>
          <w:sz w:val="22"/>
          <w:szCs w:val="22"/>
          <w:lang w:val="en-GB"/>
        </w:rPr>
      </w:pPr>
      <w:r w:rsidRPr="0052446D">
        <w:rPr>
          <w:sz w:val="22"/>
          <w:szCs w:val="22"/>
          <w:lang w:val="en-GB"/>
        </w:rPr>
        <w:t>The tender dossier is available from at the Internet address</w:t>
      </w:r>
      <w:r w:rsidR="008C75BB" w:rsidRPr="0052446D">
        <w:t xml:space="preserve"> </w:t>
      </w:r>
      <w:hyperlink r:id="rId8" w:history="1">
        <w:r w:rsidR="001E6581" w:rsidRPr="0052446D">
          <w:rPr>
            <w:rStyle w:val="Hyperlink"/>
            <w:b/>
            <w:bCs/>
            <w:snapToGrid/>
            <w:sz w:val="22"/>
          </w:rPr>
          <w:t>www.icu.it/en/bandi-di-gara/</w:t>
        </w:r>
      </w:hyperlink>
    </w:p>
    <w:p w14:paraId="5CC52C98" w14:textId="2BAF8634" w:rsidR="00646037" w:rsidRPr="001E6581" w:rsidRDefault="00B03D4C" w:rsidP="00A70054">
      <w:pPr>
        <w:pStyle w:val="Blockquote"/>
        <w:ind w:left="426" w:right="-48"/>
        <w:jc w:val="both"/>
        <w:rPr>
          <w:sz w:val="22"/>
          <w:szCs w:val="22"/>
          <w:lang w:val="en-GB"/>
        </w:rPr>
      </w:pPr>
      <w:r w:rsidRPr="001E6581">
        <w:rPr>
          <w:sz w:val="22"/>
          <w:szCs w:val="22"/>
          <w:lang w:val="en-GB"/>
        </w:rPr>
        <w:t>The t</w:t>
      </w:r>
      <w:r w:rsidR="00A70054" w:rsidRPr="001E6581">
        <w:rPr>
          <w:sz w:val="22"/>
          <w:szCs w:val="22"/>
          <w:lang w:val="en-GB"/>
        </w:rPr>
        <w:t xml:space="preserve">ender dossier </w:t>
      </w:r>
      <w:r w:rsidR="00A70054" w:rsidRPr="005163B5">
        <w:rPr>
          <w:sz w:val="22"/>
          <w:szCs w:val="22"/>
          <w:lang w:val="en-GB"/>
        </w:rPr>
        <w:t xml:space="preserve">is </w:t>
      </w:r>
      <w:r w:rsidR="001E6581" w:rsidRPr="005E16DC">
        <w:rPr>
          <w:sz w:val="22"/>
          <w:szCs w:val="22"/>
          <w:lang w:val="en-GB"/>
        </w:rPr>
        <w:t xml:space="preserve">also </w:t>
      </w:r>
      <w:r w:rsidR="00A70054" w:rsidRPr="001E6581">
        <w:rPr>
          <w:sz w:val="22"/>
          <w:szCs w:val="22"/>
          <w:lang w:val="en-GB"/>
        </w:rPr>
        <w:t>available from the Contracting Authority.</w:t>
      </w:r>
      <w:r w:rsidR="001E6581" w:rsidRPr="0052446D">
        <w:rPr>
          <w:sz w:val="22"/>
          <w:szCs w:val="22"/>
          <w:lang w:val="en-GB"/>
        </w:rPr>
        <w:t xml:space="preserve"> </w:t>
      </w:r>
      <w:r w:rsidR="00C76190" w:rsidRPr="001E6581">
        <w:rPr>
          <w:sz w:val="22"/>
          <w:szCs w:val="22"/>
          <w:lang w:val="en-GB"/>
        </w:rPr>
        <w:t>Request must be sent to Email:</w:t>
      </w:r>
      <w:r w:rsidR="00A70054" w:rsidRPr="001E6581">
        <w:rPr>
          <w:sz w:val="22"/>
          <w:szCs w:val="22"/>
          <w:lang w:val="en-GB"/>
        </w:rPr>
        <w:t xml:space="preserve"> </w:t>
      </w:r>
      <w:hyperlink r:id="rId9" w:history="1">
        <w:r w:rsidR="00C76190" w:rsidRPr="001E6581">
          <w:rPr>
            <w:rStyle w:val="Hyperlink"/>
            <w:b/>
            <w:bCs/>
            <w:sz w:val="22"/>
            <w:szCs w:val="22"/>
            <w:lang w:val="en-GB"/>
          </w:rPr>
          <w:t>tender.lebanon@icu.it</w:t>
        </w:r>
      </w:hyperlink>
    </w:p>
    <w:p w14:paraId="003A3735" w14:textId="77777777" w:rsidR="00B03D4C" w:rsidRPr="00DF25E2" w:rsidRDefault="00B03D4C" w:rsidP="005B6500">
      <w:pPr>
        <w:pStyle w:val="Blockquote"/>
        <w:ind w:left="426" w:right="-48"/>
        <w:jc w:val="both"/>
        <w:rPr>
          <w:sz w:val="22"/>
          <w:szCs w:val="22"/>
          <w:lang w:val="en-GB"/>
        </w:rPr>
      </w:pPr>
      <w:r w:rsidRPr="001E6581">
        <w:rPr>
          <w:sz w:val="22"/>
          <w:szCs w:val="22"/>
          <w:lang w:val="en-GB"/>
        </w:rPr>
        <w:t xml:space="preserve">Tenders must be submitted using the standard </w:t>
      </w:r>
      <w:r w:rsidR="00FF0AD1" w:rsidRPr="001E6581">
        <w:rPr>
          <w:sz w:val="22"/>
          <w:szCs w:val="22"/>
          <w:lang w:val="en-GB"/>
        </w:rPr>
        <w:t>t</w:t>
      </w:r>
      <w:r w:rsidRPr="001E6581">
        <w:rPr>
          <w:sz w:val="22"/>
          <w:szCs w:val="22"/>
          <w:lang w:val="en-GB"/>
        </w:rPr>
        <w:t xml:space="preserve">ender </w:t>
      </w:r>
      <w:r w:rsidR="00FF0AD1" w:rsidRPr="001E6581">
        <w:rPr>
          <w:sz w:val="22"/>
          <w:szCs w:val="22"/>
          <w:lang w:val="en-GB"/>
        </w:rPr>
        <w:t>f</w:t>
      </w:r>
      <w:r w:rsidRPr="001E6581">
        <w:rPr>
          <w:sz w:val="22"/>
          <w:szCs w:val="22"/>
          <w:lang w:val="en-GB"/>
        </w:rPr>
        <w:t>orm included in the tender dossier, whose format and instructions must be strictly observed.</w:t>
      </w:r>
    </w:p>
    <w:p w14:paraId="3A23B900" w14:textId="1B218BED" w:rsidR="005A62B9" w:rsidRPr="009B6B87" w:rsidRDefault="00B03D4C" w:rsidP="00663AE1">
      <w:pPr>
        <w:pStyle w:val="PRAGHeading2"/>
        <w:numPr>
          <w:ilvl w:val="0"/>
          <w:numId w:val="0"/>
        </w:numPr>
        <w:ind w:left="426"/>
        <w:jc w:val="both"/>
        <w:rPr>
          <w:b/>
          <w:bCs/>
          <w:color w:val="0000FF"/>
          <w:sz w:val="22"/>
          <w:szCs w:val="22"/>
          <w:u w:val="single"/>
          <w:lang w:val="en-GB"/>
        </w:rPr>
      </w:pPr>
      <w:r w:rsidRPr="00DF25E2">
        <w:rPr>
          <w:sz w:val="22"/>
          <w:szCs w:val="22"/>
          <w:lang w:val="en-GB"/>
        </w:rPr>
        <w:t xml:space="preserve">Tenderers with questions regarding this tender should send them in writing to </w:t>
      </w:r>
      <w:r w:rsidR="00C76190" w:rsidRPr="00DF25E2">
        <w:rPr>
          <w:sz w:val="22"/>
          <w:szCs w:val="22"/>
          <w:lang w:val="en-GB"/>
        </w:rPr>
        <w:t>Email:</w:t>
      </w:r>
      <w:r w:rsidR="00C76190" w:rsidRPr="00DF25E2">
        <w:rPr>
          <w:lang w:val="en-US"/>
        </w:rPr>
        <w:t xml:space="preserve"> </w:t>
      </w:r>
      <w:r w:rsidR="00663AE1" w:rsidRPr="00663AE1">
        <w:rPr>
          <w:lang w:val="en-US"/>
        </w:rPr>
        <w:t>tender.lebanon@icu.it</w:t>
      </w:r>
      <w:r w:rsidRPr="00DF25E2">
        <w:rPr>
          <w:sz w:val="22"/>
          <w:szCs w:val="22"/>
          <w:lang w:val="en-GB"/>
        </w:rPr>
        <w:t xml:space="preserve"> (mentioning the publication reference shown in item 1) at least 21 days before the deadline for submission of tenders given in item </w:t>
      </w:r>
      <w:r w:rsidR="00FF0AD1" w:rsidRPr="00DF25E2">
        <w:rPr>
          <w:sz w:val="22"/>
          <w:szCs w:val="22"/>
          <w:lang w:val="en-GB"/>
        </w:rPr>
        <w:t>‘</w:t>
      </w:r>
      <w:r w:rsidR="00B65865" w:rsidRPr="00DF25E2">
        <w:rPr>
          <w:rStyle w:val="Strong"/>
          <w:b w:val="0"/>
          <w:sz w:val="22"/>
          <w:szCs w:val="22"/>
          <w:lang w:val="en-GB"/>
        </w:rPr>
        <w:t>Deadline for submission of applications or tenders</w:t>
      </w:r>
      <w:r w:rsidR="00FF0AD1" w:rsidRPr="00DF25E2">
        <w:rPr>
          <w:rStyle w:val="Strong"/>
          <w:b w:val="0"/>
          <w:sz w:val="22"/>
          <w:szCs w:val="22"/>
          <w:lang w:val="en-GB"/>
        </w:rPr>
        <w:t>’</w:t>
      </w:r>
      <w:r w:rsidRPr="00DF25E2">
        <w:rPr>
          <w:sz w:val="22"/>
          <w:szCs w:val="22"/>
          <w:lang w:val="en-GB"/>
        </w:rPr>
        <w:t xml:space="preserve">. The </w:t>
      </w:r>
      <w:r w:rsidR="00FF0AD1" w:rsidRPr="00DF25E2">
        <w:rPr>
          <w:sz w:val="22"/>
          <w:szCs w:val="22"/>
          <w:lang w:val="en-GB"/>
        </w:rPr>
        <w:t>c</w:t>
      </w:r>
      <w:r w:rsidRPr="00DF25E2">
        <w:rPr>
          <w:sz w:val="22"/>
          <w:szCs w:val="22"/>
          <w:lang w:val="en-GB"/>
        </w:rPr>
        <w:t xml:space="preserve">ontracting </w:t>
      </w:r>
      <w:r w:rsidR="00FF0AD1" w:rsidRPr="00DF25E2">
        <w:rPr>
          <w:sz w:val="22"/>
          <w:szCs w:val="22"/>
          <w:lang w:val="en-GB"/>
        </w:rPr>
        <w:t>a</w:t>
      </w:r>
      <w:r w:rsidRPr="00DF25E2">
        <w:rPr>
          <w:sz w:val="22"/>
          <w:szCs w:val="22"/>
          <w:lang w:val="en-GB"/>
        </w:rPr>
        <w:t xml:space="preserve">uthority must reply to all tenderers' questions at least 11 days before the deadline for submission of tenders. </w:t>
      </w:r>
      <w:r w:rsidR="003A523F" w:rsidRPr="00DF25E2">
        <w:rPr>
          <w:sz w:val="22"/>
          <w:szCs w:val="22"/>
          <w:lang w:val="en-GB"/>
        </w:rPr>
        <w:t>Possible</w:t>
      </w:r>
      <w:r w:rsidRPr="00DF25E2">
        <w:rPr>
          <w:sz w:val="22"/>
          <w:szCs w:val="22"/>
          <w:lang w:val="en-GB"/>
        </w:rPr>
        <w:t xml:space="preserve"> clarifications or minor changes to the tender dossier shall be published at the latest 11 days before the submission deadline on the</w:t>
      </w:r>
      <w:r w:rsidR="00E26496" w:rsidRPr="00DF25E2">
        <w:rPr>
          <w:sz w:val="22"/>
          <w:szCs w:val="22"/>
          <w:lang w:val="en-GB"/>
        </w:rPr>
        <w:t xml:space="preserve"> portal</w:t>
      </w:r>
      <w:r w:rsidRPr="00DF25E2">
        <w:rPr>
          <w:sz w:val="22"/>
          <w:szCs w:val="22"/>
          <w:lang w:val="en-GB"/>
        </w:rPr>
        <w:t xml:space="preserve"> at</w:t>
      </w:r>
      <w:r w:rsidR="001B078F" w:rsidRPr="00DF25E2">
        <w:rPr>
          <w:sz w:val="22"/>
          <w:szCs w:val="22"/>
          <w:lang w:val="en-GB"/>
        </w:rPr>
        <w:t xml:space="preserve"> </w:t>
      </w:r>
      <w:r w:rsidR="009B6B87" w:rsidRPr="009B6B87">
        <w:rPr>
          <w:b/>
          <w:bCs/>
          <w:color w:val="0000FF"/>
          <w:sz w:val="22"/>
          <w:szCs w:val="22"/>
          <w:u w:val="single"/>
          <w:lang w:val="en-GB"/>
        </w:rPr>
        <w:t>www.icu.it/en/bandi-di-gara/</w:t>
      </w:r>
    </w:p>
    <w:p w14:paraId="33399BA5" w14:textId="77777777" w:rsidR="00001895" w:rsidRPr="00A70054" w:rsidRDefault="00001895" w:rsidP="005B6500">
      <w:pPr>
        <w:pStyle w:val="PRAGHeading2"/>
        <w:ind w:left="426" w:hanging="426"/>
        <w:rPr>
          <w:rStyle w:val="Strong"/>
          <w:sz w:val="22"/>
          <w:szCs w:val="22"/>
          <w:lang w:val="en-GB"/>
        </w:rPr>
      </w:pPr>
      <w:r w:rsidRPr="00A70054">
        <w:rPr>
          <w:rStyle w:val="Strong"/>
          <w:sz w:val="22"/>
          <w:szCs w:val="22"/>
          <w:lang w:val="en-GB"/>
        </w:rPr>
        <w:t>Tender opening session</w:t>
      </w:r>
    </w:p>
    <w:p w14:paraId="4414C4F6" w14:textId="27A3DF3D" w:rsidR="002C7CF4" w:rsidRDefault="008F2845" w:rsidP="00DF25E2">
      <w:pPr>
        <w:pStyle w:val="PRAGHeading2"/>
        <w:numPr>
          <w:ilvl w:val="0"/>
          <w:numId w:val="0"/>
        </w:numPr>
        <w:ind w:left="426"/>
        <w:rPr>
          <w:sz w:val="22"/>
          <w:szCs w:val="22"/>
          <w:lang w:val="en-GB"/>
        </w:rPr>
      </w:pPr>
      <w:r>
        <w:rPr>
          <w:sz w:val="22"/>
          <w:szCs w:val="22"/>
          <w:lang w:val="en-GB"/>
        </w:rPr>
        <w:t>On</w:t>
      </w:r>
      <w:r w:rsidR="00394749">
        <w:rPr>
          <w:sz w:val="22"/>
          <w:szCs w:val="22"/>
          <w:lang w:val="en-GB"/>
        </w:rPr>
        <w:t xml:space="preserve"> :</w:t>
      </w:r>
      <w:r w:rsidR="00DF25E2" w:rsidRPr="00A70054">
        <w:rPr>
          <w:b/>
          <w:bCs/>
          <w:sz w:val="22"/>
          <w:szCs w:val="22"/>
          <w:lang w:val="en-GB"/>
        </w:rPr>
        <w:t>10/02/2021</w:t>
      </w:r>
    </w:p>
    <w:p w14:paraId="69E945F9" w14:textId="640F8ECB" w:rsidR="00394749" w:rsidRPr="00A70054" w:rsidRDefault="00394749" w:rsidP="00A94DC5">
      <w:pPr>
        <w:pStyle w:val="PRAGHeading2"/>
        <w:numPr>
          <w:ilvl w:val="0"/>
          <w:numId w:val="0"/>
        </w:numPr>
        <w:ind w:left="426"/>
        <w:rPr>
          <w:b/>
          <w:bCs/>
          <w:sz w:val="22"/>
          <w:szCs w:val="22"/>
          <w:lang w:val="en-GB"/>
        </w:rPr>
      </w:pPr>
      <w:r>
        <w:rPr>
          <w:sz w:val="22"/>
          <w:szCs w:val="22"/>
          <w:lang w:val="en-GB"/>
        </w:rPr>
        <w:t>Place</w:t>
      </w:r>
      <w:r w:rsidRPr="00A70054">
        <w:rPr>
          <w:b/>
          <w:bCs/>
          <w:sz w:val="22"/>
          <w:szCs w:val="22"/>
          <w:lang w:val="en-GB"/>
        </w:rPr>
        <w:t>:</w:t>
      </w:r>
      <w:r w:rsidRPr="00A70054">
        <w:rPr>
          <w:b/>
          <w:bCs/>
          <w:lang w:val="en-US"/>
        </w:rPr>
        <w:t xml:space="preserve"> </w:t>
      </w:r>
      <w:r w:rsidRPr="00A70054">
        <w:rPr>
          <w:b/>
          <w:bCs/>
          <w:sz w:val="22"/>
          <w:szCs w:val="22"/>
          <w:lang w:val="en-GB"/>
        </w:rPr>
        <w:t>Hekmeh Bld.-5th floor-facing Sagesse Brasilia School-Baabda Street-Baabda</w:t>
      </w:r>
    </w:p>
    <w:p w14:paraId="56072393" w14:textId="5C01FE79" w:rsidR="00AA22A5" w:rsidRPr="0025703B" w:rsidRDefault="00AA22A5" w:rsidP="008C3E63">
      <w:pPr>
        <w:pStyle w:val="PRAGHeading2"/>
        <w:numPr>
          <w:ilvl w:val="0"/>
          <w:numId w:val="0"/>
        </w:numPr>
        <w:rPr>
          <w:sz w:val="22"/>
          <w:szCs w:val="22"/>
          <w:highlight w:val="lightGray"/>
          <w:lang w:val="en-GB"/>
        </w:rPr>
      </w:pPr>
    </w:p>
    <w:p w14:paraId="6AECAB45" w14:textId="77777777" w:rsidR="00AA22A5" w:rsidRPr="00641AED" w:rsidRDefault="00AA22A5" w:rsidP="005B6500">
      <w:pPr>
        <w:pStyle w:val="PRAGHeading2"/>
        <w:ind w:left="426" w:hanging="426"/>
        <w:jc w:val="both"/>
        <w:rPr>
          <w:rStyle w:val="Strong"/>
          <w:sz w:val="22"/>
          <w:szCs w:val="22"/>
          <w:lang w:val="en-GB"/>
        </w:rPr>
      </w:pPr>
      <w:r w:rsidRPr="00641AED">
        <w:rPr>
          <w:rStyle w:val="Strong"/>
          <w:sz w:val="22"/>
          <w:szCs w:val="22"/>
          <w:lang w:val="en-GB"/>
        </w:rPr>
        <w:t xml:space="preserve">How applications may be submitted </w:t>
      </w:r>
    </w:p>
    <w:p w14:paraId="14737359" w14:textId="77777777" w:rsidR="00AA22A5" w:rsidRPr="00A45914" w:rsidRDefault="00AA22A5" w:rsidP="00AA22A5">
      <w:pPr>
        <w:ind w:left="426"/>
        <w:jc w:val="both"/>
        <w:rPr>
          <w:sz w:val="22"/>
          <w:szCs w:val="22"/>
          <w:lang w:val="en-GB"/>
        </w:rPr>
      </w:pPr>
      <w:r w:rsidRPr="00A45914">
        <w:rPr>
          <w:sz w:val="22"/>
          <w:szCs w:val="22"/>
          <w:lang w:val="en-GB"/>
        </w:rPr>
        <w:t xml:space="preserve">Applications must be submitted in English exclusively to the </w:t>
      </w:r>
      <w:r w:rsidR="00FF0AD1" w:rsidRPr="00A45914">
        <w:rPr>
          <w:sz w:val="22"/>
          <w:szCs w:val="22"/>
          <w:lang w:val="en-GB"/>
        </w:rPr>
        <w:t>c</w:t>
      </w:r>
      <w:r w:rsidRPr="00A45914">
        <w:rPr>
          <w:sz w:val="22"/>
          <w:szCs w:val="22"/>
          <w:lang w:val="en-GB"/>
        </w:rPr>
        <w:t xml:space="preserve">ontracting </w:t>
      </w:r>
      <w:r w:rsidR="00FF0AD1" w:rsidRPr="00A45914">
        <w:rPr>
          <w:sz w:val="22"/>
          <w:szCs w:val="22"/>
          <w:lang w:val="en-GB"/>
        </w:rPr>
        <w:t>a</w:t>
      </w:r>
      <w:r w:rsidRPr="00A45914">
        <w:rPr>
          <w:sz w:val="22"/>
          <w:szCs w:val="22"/>
          <w:lang w:val="en-GB"/>
        </w:rPr>
        <w:t>uthority in a sealed envelope.</w:t>
      </w:r>
    </w:p>
    <w:p w14:paraId="2C1CEBC9" w14:textId="3FF9E1A0" w:rsidR="00AA22A5" w:rsidRPr="00A45914" w:rsidRDefault="008C3E63" w:rsidP="008C3E63">
      <w:pPr>
        <w:numPr>
          <w:ilvl w:val="0"/>
          <w:numId w:val="11"/>
        </w:numPr>
        <w:rPr>
          <w:sz w:val="22"/>
          <w:szCs w:val="22"/>
          <w:lang w:val="en-GB"/>
        </w:rPr>
      </w:pPr>
      <w:r w:rsidRPr="00A45914">
        <w:rPr>
          <w:sz w:val="22"/>
          <w:szCs w:val="22"/>
          <w:lang w:val="en-GB"/>
        </w:rPr>
        <w:t>B</w:t>
      </w:r>
      <w:r w:rsidR="00755178" w:rsidRPr="00A45914">
        <w:rPr>
          <w:sz w:val="22"/>
          <w:szCs w:val="22"/>
          <w:lang w:val="en-GB"/>
        </w:rPr>
        <w:t xml:space="preserve">y courier service, in which case the evidence shall be constituted by the postmark or the date of the deposit </w:t>
      </w:r>
      <w:r w:rsidR="00A45914" w:rsidRPr="00A45914">
        <w:rPr>
          <w:sz w:val="22"/>
          <w:szCs w:val="22"/>
          <w:lang w:val="en-GB"/>
        </w:rPr>
        <w:t>slip, to</w:t>
      </w:r>
      <w:r w:rsidR="00AA22A5" w:rsidRPr="00A45914">
        <w:rPr>
          <w:sz w:val="22"/>
          <w:szCs w:val="22"/>
          <w:lang w:val="en-GB"/>
        </w:rPr>
        <w:t xml:space="preserve">: </w:t>
      </w:r>
    </w:p>
    <w:p w14:paraId="6C8E3850" w14:textId="4BD3FED3" w:rsidR="00AA22A5" w:rsidRPr="00641AED" w:rsidRDefault="008C3E63" w:rsidP="00AA22A5">
      <w:pPr>
        <w:pStyle w:val="Blockquote"/>
        <w:jc w:val="center"/>
        <w:rPr>
          <w:b/>
          <w:bCs/>
          <w:sz w:val="22"/>
          <w:szCs w:val="22"/>
          <w:lang w:val="en-GB"/>
        </w:rPr>
      </w:pPr>
      <w:r w:rsidRPr="00641AED">
        <w:rPr>
          <w:b/>
          <w:bCs/>
          <w:sz w:val="22"/>
          <w:szCs w:val="22"/>
          <w:lang w:val="en-GB"/>
        </w:rPr>
        <w:t>Jose Antonio Naya Villaverde</w:t>
      </w:r>
    </w:p>
    <w:p w14:paraId="2E75D9DE" w14:textId="0D94B08F" w:rsidR="008C3E63" w:rsidRPr="00641AED" w:rsidRDefault="008C3E63" w:rsidP="0022168F">
      <w:pPr>
        <w:pStyle w:val="Blockquote"/>
        <w:jc w:val="center"/>
        <w:rPr>
          <w:b/>
          <w:bCs/>
          <w:sz w:val="22"/>
          <w:szCs w:val="22"/>
          <w:highlight w:val="yellow"/>
          <w:lang w:val="en-GB"/>
        </w:rPr>
      </w:pPr>
      <w:r w:rsidRPr="00641AED">
        <w:rPr>
          <w:b/>
          <w:bCs/>
          <w:sz w:val="22"/>
          <w:szCs w:val="22"/>
          <w:lang w:val="en-GB"/>
        </w:rPr>
        <w:t>Hekmeh Bld.-5th floor-facing Sagesse Brasilia School-Baabda Street-Baabda</w:t>
      </w:r>
    </w:p>
    <w:p w14:paraId="27CCD0B7" w14:textId="30259CF0" w:rsidR="00AA22A5" w:rsidRDefault="00AA22A5" w:rsidP="00AA22A5">
      <w:pPr>
        <w:numPr>
          <w:ilvl w:val="0"/>
          <w:numId w:val="11"/>
        </w:numPr>
        <w:rPr>
          <w:sz w:val="22"/>
          <w:szCs w:val="22"/>
          <w:lang w:val="en-GB"/>
        </w:rPr>
      </w:pPr>
      <w:r w:rsidRPr="002C60BF">
        <w:rPr>
          <w:sz w:val="22"/>
          <w:szCs w:val="22"/>
          <w:lang w:val="en-GB"/>
        </w:rPr>
        <w:t xml:space="preserve">OR hand delivered </w:t>
      </w:r>
      <w:r w:rsidR="00755178" w:rsidRPr="002C60BF">
        <w:rPr>
          <w:sz w:val="22"/>
          <w:szCs w:val="22"/>
          <w:lang w:val="en-GB"/>
        </w:rPr>
        <w:t>by the participant in person or by an agent</w:t>
      </w:r>
      <w:r w:rsidR="00755178" w:rsidRPr="002C60BF">
        <w:t xml:space="preserve"> directly</w:t>
      </w:r>
      <w:r w:rsidR="00755178" w:rsidRPr="002C60BF">
        <w:rPr>
          <w:sz w:val="22"/>
          <w:szCs w:val="22"/>
          <w:lang w:val="en-GB"/>
        </w:rPr>
        <w:t xml:space="preserve"> to the premises of the contracting authority in return for a </w:t>
      </w:r>
      <w:r w:rsidR="00755178" w:rsidRPr="002C60BF">
        <w:t>signed and dated receipt</w:t>
      </w:r>
      <w:r w:rsidR="00755178" w:rsidRPr="002C60BF">
        <w:rPr>
          <w:sz w:val="22"/>
          <w:szCs w:val="22"/>
          <w:lang w:val="en-GB"/>
        </w:rPr>
        <w:t xml:space="preserve">, in which case the evidence shall be constituted by this acknowledgement of receipt, </w:t>
      </w:r>
      <w:r w:rsidRPr="002C60BF">
        <w:rPr>
          <w:sz w:val="22"/>
          <w:szCs w:val="22"/>
          <w:lang w:val="en-GB"/>
        </w:rPr>
        <w:t xml:space="preserve">to: </w:t>
      </w:r>
    </w:p>
    <w:p w14:paraId="32D2A288" w14:textId="77777777" w:rsidR="002C60BF" w:rsidRPr="00641AED" w:rsidRDefault="002C60BF" w:rsidP="002C60BF">
      <w:pPr>
        <w:ind w:left="1069"/>
        <w:jc w:val="center"/>
        <w:rPr>
          <w:b/>
          <w:bCs/>
          <w:sz w:val="22"/>
          <w:szCs w:val="22"/>
          <w:lang w:val="en-GB"/>
        </w:rPr>
      </w:pPr>
      <w:r w:rsidRPr="00641AED">
        <w:rPr>
          <w:b/>
          <w:bCs/>
          <w:sz w:val="22"/>
          <w:szCs w:val="22"/>
          <w:lang w:val="en-GB"/>
        </w:rPr>
        <w:t>Jose Antonio Naya Villaverde</w:t>
      </w:r>
    </w:p>
    <w:p w14:paraId="2E02686C" w14:textId="777278C2" w:rsidR="002C60BF" w:rsidRPr="00641AED" w:rsidRDefault="002C60BF" w:rsidP="0022168F">
      <w:pPr>
        <w:ind w:left="1069"/>
        <w:jc w:val="center"/>
        <w:rPr>
          <w:b/>
          <w:bCs/>
          <w:sz w:val="22"/>
          <w:szCs w:val="22"/>
          <w:lang w:val="en-GB"/>
        </w:rPr>
      </w:pPr>
      <w:r w:rsidRPr="00641AED">
        <w:rPr>
          <w:b/>
          <w:bCs/>
          <w:sz w:val="22"/>
          <w:szCs w:val="22"/>
          <w:lang w:val="en-GB"/>
        </w:rPr>
        <w:t>Hekmeh Bld.-5th floor-facing Sagesse Brasilia School-Baabda Street-Baabda</w:t>
      </w:r>
    </w:p>
    <w:p w14:paraId="3202604A" w14:textId="36F6A067" w:rsidR="002C60BF" w:rsidRPr="00641AED" w:rsidRDefault="002C60BF" w:rsidP="002C60BF">
      <w:pPr>
        <w:ind w:left="1069"/>
        <w:jc w:val="center"/>
        <w:rPr>
          <w:b/>
          <w:bCs/>
          <w:sz w:val="22"/>
          <w:szCs w:val="22"/>
          <w:lang w:val="en-GB"/>
        </w:rPr>
      </w:pPr>
      <w:r w:rsidRPr="00641AED">
        <w:rPr>
          <w:b/>
          <w:bCs/>
          <w:sz w:val="22"/>
          <w:szCs w:val="22"/>
          <w:lang w:val="en-GB"/>
        </w:rPr>
        <w:t>From: 9:00 Am to 3:00 Pm</w:t>
      </w:r>
    </w:p>
    <w:p w14:paraId="6C512457" w14:textId="61E31074" w:rsidR="004F27F5" w:rsidRDefault="00AA22A5" w:rsidP="00AA22A5">
      <w:pPr>
        <w:ind w:left="426"/>
        <w:jc w:val="both"/>
        <w:rPr>
          <w:sz w:val="22"/>
          <w:szCs w:val="22"/>
          <w:highlight w:val="lightGray"/>
          <w:lang w:val="en-GB"/>
        </w:rPr>
      </w:pPr>
      <w:r w:rsidRPr="002C60BF">
        <w:rPr>
          <w:sz w:val="22"/>
          <w:szCs w:val="22"/>
          <w:lang w:val="en-GB"/>
        </w:rPr>
        <w:t xml:space="preserve">The </w:t>
      </w:r>
      <w:r w:rsidR="00FF0AD1" w:rsidRPr="002C60BF">
        <w:rPr>
          <w:sz w:val="22"/>
          <w:szCs w:val="22"/>
          <w:lang w:val="en-GB"/>
        </w:rPr>
        <w:t>c</w:t>
      </w:r>
      <w:r w:rsidRPr="002C60BF">
        <w:rPr>
          <w:sz w:val="22"/>
          <w:szCs w:val="22"/>
          <w:lang w:val="en-GB"/>
        </w:rPr>
        <w:t xml:space="preserve">ontract title and </w:t>
      </w:r>
      <w:r w:rsidR="00FF0AD1" w:rsidRPr="002C60BF">
        <w:rPr>
          <w:sz w:val="22"/>
          <w:szCs w:val="22"/>
          <w:lang w:val="en-GB"/>
        </w:rPr>
        <w:t>p</w:t>
      </w:r>
      <w:r w:rsidRPr="002C60BF">
        <w:rPr>
          <w:sz w:val="22"/>
          <w:szCs w:val="22"/>
          <w:lang w:val="en-GB"/>
        </w:rPr>
        <w:t xml:space="preserve">ublication reference (see </w:t>
      </w:r>
      <w:r w:rsidR="00B65865" w:rsidRPr="002C60BF">
        <w:rPr>
          <w:sz w:val="22"/>
          <w:szCs w:val="22"/>
          <w:lang w:val="en-GB"/>
        </w:rPr>
        <w:t>contract notice</w:t>
      </w:r>
      <w:r w:rsidRPr="002C60BF">
        <w:rPr>
          <w:sz w:val="22"/>
          <w:szCs w:val="22"/>
          <w:lang w:val="en-GB"/>
        </w:rPr>
        <w:t xml:space="preserve">) must be clearly marked on the envelope containing the application and must always be mentioned in all subsequent correspondence with the </w:t>
      </w:r>
      <w:r w:rsidR="00FF0AD1" w:rsidRPr="002C60BF">
        <w:rPr>
          <w:sz w:val="22"/>
          <w:szCs w:val="22"/>
          <w:lang w:val="en-GB"/>
        </w:rPr>
        <w:t>c</w:t>
      </w:r>
      <w:r w:rsidRPr="002C60BF">
        <w:rPr>
          <w:sz w:val="22"/>
          <w:szCs w:val="22"/>
          <w:lang w:val="en-GB"/>
        </w:rPr>
        <w:t xml:space="preserve">ontracting </w:t>
      </w:r>
      <w:r w:rsidR="00FF0AD1" w:rsidRPr="002C60BF">
        <w:rPr>
          <w:sz w:val="22"/>
          <w:szCs w:val="22"/>
          <w:lang w:val="en-GB"/>
        </w:rPr>
        <w:t>a</w:t>
      </w:r>
      <w:r w:rsidRPr="002C60BF">
        <w:rPr>
          <w:sz w:val="22"/>
          <w:szCs w:val="22"/>
          <w:lang w:val="en-GB"/>
        </w:rPr>
        <w:t xml:space="preserve">uthority. </w:t>
      </w:r>
    </w:p>
    <w:p w14:paraId="7FEC12F1" w14:textId="77777777" w:rsidR="00AA22A5" w:rsidRPr="002C60BF" w:rsidRDefault="00AA22A5" w:rsidP="007A21C8">
      <w:pPr>
        <w:tabs>
          <w:tab w:val="left" w:pos="426"/>
        </w:tabs>
        <w:ind w:left="426"/>
        <w:jc w:val="both"/>
        <w:rPr>
          <w:sz w:val="22"/>
          <w:szCs w:val="22"/>
          <w:lang w:val="en-GB"/>
        </w:rPr>
      </w:pPr>
      <w:r w:rsidRPr="002C60BF">
        <w:rPr>
          <w:sz w:val="22"/>
          <w:szCs w:val="22"/>
          <w:lang w:val="en-GB"/>
        </w:rPr>
        <w:t xml:space="preserve">Applications submitted by any other means will not be considered. </w:t>
      </w:r>
    </w:p>
    <w:p w14:paraId="1E9F92C7" w14:textId="26F2CD28" w:rsidR="004F27F5" w:rsidRPr="002C60BF" w:rsidRDefault="004F27F5" w:rsidP="007A21C8">
      <w:pPr>
        <w:tabs>
          <w:tab w:val="left" w:pos="426"/>
        </w:tabs>
        <w:ind w:left="426"/>
        <w:jc w:val="both"/>
        <w:rPr>
          <w:sz w:val="22"/>
          <w:szCs w:val="22"/>
          <w:lang w:val="en-GB"/>
        </w:rPr>
      </w:pPr>
      <w:r w:rsidRPr="002C60BF">
        <w:rPr>
          <w:sz w:val="22"/>
          <w:szCs w:val="22"/>
          <w:lang w:val="en-GB"/>
        </w:rPr>
        <w:t>By submitting a</w:t>
      </w:r>
      <w:r w:rsidR="001B078F" w:rsidRPr="002C60BF">
        <w:rPr>
          <w:sz w:val="22"/>
          <w:szCs w:val="22"/>
          <w:lang w:val="en-GB"/>
        </w:rPr>
        <w:t>n</w:t>
      </w:r>
      <w:r w:rsidRPr="002C60BF">
        <w:rPr>
          <w:sz w:val="22"/>
          <w:szCs w:val="22"/>
          <w:lang w:val="en-GB"/>
        </w:rPr>
        <w:t xml:space="preserve"> </w:t>
      </w:r>
      <w:r w:rsidR="001B078F" w:rsidRPr="002C60BF">
        <w:rPr>
          <w:sz w:val="22"/>
          <w:szCs w:val="22"/>
          <w:lang w:val="en-GB"/>
        </w:rPr>
        <w:t>application</w:t>
      </w:r>
      <w:r w:rsidRPr="002C60BF">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2C60BF">
        <w:rPr>
          <w:sz w:val="22"/>
          <w:szCs w:val="22"/>
          <w:lang w:val="en-GB"/>
        </w:rPr>
        <w:t>application form</w:t>
      </w:r>
      <w:r w:rsidRPr="002C60BF">
        <w:rPr>
          <w:sz w:val="22"/>
          <w:szCs w:val="22"/>
          <w:lang w:val="en-GB"/>
        </w:rPr>
        <w:t>.</w:t>
      </w:r>
      <w:r w:rsidR="0074581A" w:rsidRPr="002C60BF">
        <w:rPr>
          <w:sz w:val="22"/>
          <w:szCs w:val="22"/>
          <w:lang w:val="en-GB"/>
        </w:rPr>
        <w:t xml:space="preserve"> </w:t>
      </w:r>
    </w:p>
    <w:p w14:paraId="6ACE8D12" w14:textId="4BB5345F" w:rsidR="00AE41D2" w:rsidRPr="00F73201" w:rsidRDefault="00AE41D2" w:rsidP="007A21C8">
      <w:pPr>
        <w:pStyle w:val="PRAGHeading2"/>
        <w:tabs>
          <w:tab w:val="clear" w:pos="567"/>
          <w:tab w:val="num" w:pos="426"/>
        </w:tabs>
        <w:ind w:hanging="567"/>
        <w:rPr>
          <w:snapToGrid/>
          <w:sz w:val="22"/>
          <w:lang w:val="en-GB"/>
        </w:rPr>
      </w:pPr>
      <w:r w:rsidRPr="00F73201">
        <w:rPr>
          <w:rStyle w:val="Strong"/>
          <w:lang w:val="en-GB"/>
        </w:rPr>
        <w:t>Deadline for submission of applications</w:t>
      </w:r>
    </w:p>
    <w:p w14:paraId="1106CEE6" w14:textId="3450A5B0" w:rsidR="00AE41D2" w:rsidRPr="00FB590F" w:rsidRDefault="00AE41D2" w:rsidP="00FB590F">
      <w:pPr>
        <w:pStyle w:val="PRAGHeading2"/>
        <w:numPr>
          <w:ilvl w:val="0"/>
          <w:numId w:val="0"/>
        </w:numPr>
        <w:ind w:left="426"/>
        <w:jc w:val="both"/>
        <w:rPr>
          <w:rStyle w:val="Emphasis"/>
          <w:i w:val="0"/>
          <w:lang w:val="en-IE"/>
        </w:rPr>
      </w:pPr>
      <w:r w:rsidRPr="00FB590F">
        <w:rPr>
          <w:rStyle w:val="Emphasis"/>
          <w:i w:val="0"/>
          <w:iCs/>
          <w:sz w:val="22"/>
          <w:szCs w:val="22"/>
          <w:lang w:val="en-GB"/>
        </w:rPr>
        <w:t xml:space="preserve">The candidate’s attention is drawn to the fact that there are two different systems for sending applications: one is by </w:t>
      </w:r>
      <w:r w:rsidR="00FB590F" w:rsidRPr="00FB590F">
        <w:rPr>
          <w:rStyle w:val="Emphasis"/>
          <w:i w:val="0"/>
          <w:iCs/>
          <w:sz w:val="22"/>
          <w:szCs w:val="22"/>
          <w:lang w:val="en-GB"/>
        </w:rPr>
        <w:t>courier service</w:t>
      </w:r>
      <w:r w:rsidRPr="00FB590F">
        <w:rPr>
          <w:rStyle w:val="Emphasis"/>
          <w:i w:val="0"/>
          <w:iCs/>
          <w:sz w:val="22"/>
          <w:szCs w:val="22"/>
          <w:lang w:val="en-GB"/>
        </w:rPr>
        <w:t>, the other is by hand delivery.</w:t>
      </w:r>
    </w:p>
    <w:p w14:paraId="4D3BFBA3" w14:textId="77777777" w:rsidR="00AE41D2" w:rsidRPr="00FB590F" w:rsidRDefault="00AE41D2" w:rsidP="007A21C8">
      <w:pPr>
        <w:pStyle w:val="PRAGHeading2"/>
        <w:numPr>
          <w:ilvl w:val="0"/>
          <w:numId w:val="0"/>
        </w:numPr>
        <w:ind w:left="426"/>
        <w:jc w:val="both"/>
        <w:rPr>
          <w:rStyle w:val="Emphasis"/>
          <w:i w:val="0"/>
          <w:iCs/>
          <w:sz w:val="22"/>
          <w:szCs w:val="22"/>
          <w:lang w:val="en-GB"/>
        </w:rPr>
      </w:pPr>
      <w:r w:rsidRPr="00FB590F">
        <w:rPr>
          <w:rStyle w:val="Emphasis"/>
          <w:i w:val="0"/>
          <w:iCs/>
          <w:sz w:val="22"/>
          <w:szCs w:val="22"/>
          <w:lang w:val="en-GB"/>
        </w:rPr>
        <w:t xml:space="preserve">In the first case, the application must be sent before the date and time limit for submission, as </w:t>
      </w:r>
      <w:r w:rsidRPr="00FB590F">
        <w:rPr>
          <w:rStyle w:val="Emphasis"/>
          <w:i w:val="0"/>
          <w:iCs/>
          <w:sz w:val="22"/>
          <w:szCs w:val="22"/>
          <w:lang w:val="en-GB"/>
        </w:rPr>
        <w:lastRenderedPageBreak/>
        <w:t>evidenced by the postmark or deposit slip</w:t>
      </w:r>
      <w:r w:rsidRPr="00FB590F">
        <w:rPr>
          <w:rStyle w:val="FootnoteReference"/>
          <w:iCs/>
          <w:sz w:val="22"/>
          <w:szCs w:val="22"/>
          <w:lang w:val="en-GB"/>
        </w:rPr>
        <w:footnoteReference w:id="3"/>
      </w:r>
      <w:r w:rsidRPr="00FB590F">
        <w:rPr>
          <w:rStyle w:val="Emphasis"/>
          <w:i w:val="0"/>
          <w:iCs/>
          <w:sz w:val="22"/>
          <w:szCs w:val="22"/>
          <w:lang w:val="en-GB"/>
        </w:rPr>
        <w:t>, but in the second case it is the acknowledgment of receipt given at the time of the delivery of the application that will serve as proof.</w:t>
      </w:r>
    </w:p>
    <w:p w14:paraId="11316AE5" w14:textId="77777777" w:rsidR="00AE41D2" w:rsidRPr="00FB590F" w:rsidRDefault="00AE41D2" w:rsidP="007A21C8">
      <w:pPr>
        <w:pStyle w:val="PRAGHeading2"/>
        <w:numPr>
          <w:ilvl w:val="0"/>
          <w:numId w:val="0"/>
        </w:numPr>
        <w:ind w:left="426"/>
        <w:jc w:val="both"/>
        <w:rPr>
          <w:rStyle w:val="Emphasis"/>
          <w:b/>
          <w:i w:val="0"/>
          <w:iCs/>
          <w:sz w:val="22"/>
          <w:szCs w:val="22"/>
          <w:lang w:val="en-GB"/>
        </w:rPr>
      </w:pPr>
      <w:r w:rsidRPr="00FB590F">
        <w:rPr>
          <w:rStyle w:val="Emphasis"/>
          <w:b/>
          <w:i w:val="0"/>
          <w:iCs/>
          <w:sz w:val="22"/>
          <w:szCs w:val="22"/>
          <w:lang w:val="en-GB"/>
        </w:rPr>
        <w:t>The deadline for submission of applications can be found in the Contract Notice under IV.2.2.</w:t>
      </w:r>
    </w:p>
    <w:p w14:paraId="2FDE7C07" w14:textId="01A70D3D" w:rsidR="00AE41D2" w:rsidRPr="00FB590F" w:rsidRDefault="00AE41D2" w:rsidP="007A21C8">
      <w:pPr>
        <w:pStyle w:val="PRAGHeading2"/>
        <w:numPr>
          <w:ilvl w:val="0"/>
          <w:numId w:val="0"/>
        </w:numPr>
        <w:ind w:left="426"/>
        <w:jc w:val="both"/>
        <w:rPr>
          <w:rStyle w:val="Emphasis"/>
          <w:i w:val="0"/>
          <w:iCs/>
          <w:sz w:val="22"/>
          <w:szCs w:val="22"/>
          <w:lang w:val="en-GB"/>
        </w:rPr>
      </w:pPr>
      <w:r w:rsidRPr="00FB590F">
        <w:rPr>
          <w:rStyle w:val="Emphasis"/>
          <w:i w:val="0"/>
          <w:iCs/>
          <w:sz w:val="22"/>
          <w:szCs w:val="22"/>
          <w:lang w:val="en-GB"/>
        </w:rPr>
        <w:t>Any application sent to the contracting authority after this deadline will not be considered.</w:t>
      </w:r>
    </w:p>
    <w:p w14:paraId="5A7ECBA9" w14:textId="77777777" w:rsidR="00AE41D2" w:rsidRDefault="00AE41D2" w:rsidP="00FA24DB">
      <w:pPr>
        <w:pStyle w:val="PRAGHeading2"/>
        <w:numPr>
          <w:ilvl w:val="0"/>
          <w:numId w:val="0"/>
        </w:numPr>
        <w:ind w:left="567"/>
        <w:rPr>
          <w:rStyle w:val="Strong"/>
          <w:sz w:val="22"/>
          <w:szCs w:val="22"/>
          <w:highlight w:val="lightGray"/>
          <w:lang w:val="en-GB"/>
        </w:rPr>
      </w:pPr>
    </w:p>
    <w:p w14:paraId="4D57F826" w14:textId="77777777" w:rsidR="00765594" w:rsidRPr="00462044" w:rsidRDefault="00765594" w:rsidP="007A21C8">
      <w:pPr>
        <w:pStyle w:val="PRAGHeading2"/>
        <w:tabs>
          <w:tab w:val="clear" w:pos="567"/>
          <w:tab w:val="num" w:pos="426"/>
        </w:tabs>
        <w:ind w:hanging="567"/>
        <w:rPr>
          <w:rStyle w:val="Strong"/>
          <w:sz w:val="22"/>
          <w:szCs w:val="22"/>
          <w:lang w:val="en-GB"/>
        </w:rPr>
      </w:pPr>
      <w:r w:rsidRPr="00462044">
        <w:rPr>
          <w:rStyle w:val="Strong"/>
          <w:sz w:val="22"/>
          <w:szCs w:val="22"/>
          <w:lang w:val="en-GB"/>
        </w:rPr>
        <w:t>Clarifications on the contract notice</w:t>
      </w:r>
    </w:p>
    <w:p w14:paraId="42D796E8" w14:textId="6653DCC2" w:rsidR="00F96B0B" w:rsidRPr="00462044" w:rsidRDefault="00765594" w:rsidP="00C829C7">
      <w:pPr>
        <w:pStyle w:val="PRAGHeading2"/>
        <w:numPr>
          <w:ilvl w:val="0"/>
          <w:numId w:val="0"/>
        </w:numPr>
        <w:ind w:left="426"/>
        <w:rPr>
          <w:sz w:val="22"/>
          <w:szCs w:val="22"/>
          <w:lang w:val="en-GB"/>
        </w:rPr>
      </w:pPr>
      <w:r w:rsidRPr="00462044">
        <w:rPr>
          <w:sz w:val="22"/>
          <w:szCs w:val="22"/>
          <w:lang w:val="en-GB"/>
        </w:rPr>
        <w:t xml:space="preserve">Clarifications may be sought from the contracting authority at the following email </w:t>
      </w:r>
      <w:r w:rsidR="00462044" w:rsidRPr="00462044">
        <w:rPr>
          <w:b/>
          <w:sz w:val="22"/>
          <w:szCs w:val="22"/>
          <w:lang w:val="en-GB"/>
        </w:rPr>
        <w:t>E-mail</w:t>
      </w:r>
      <w:r w:rsidR="00C50CF2" w:rsidRPr="001B0E2D">
        <w:rPr>
          <w:rStyle w:val="Strong"/>
          <w:sz w:val="22"/>
          <w:szCs w:val="22"/>
          <w:lang w:val="en-GB"/>
        </w:rPr>
        <w:t xml:space="preserve">: </w:t>
      </w:r>
      <w:r w:rsidR="00C829C7" w:rsidRPr="00C829C7">
        <w:rPr>
          <w:color w:val="0070C0"/>
          <w:lang w:val="en-US"/>
        </w:rPr>
        <w:t>tender.lebanon@icu.it</w:t>
      </w:r>
      <w:bookmarkStart w:id="0" w:name="_GoBack"/>
      <w:r w:rsidR="00C829C7" w:rsidRPr="00C829C7">
        <w:rPr>
          <w:color w:val="0070C0"/>
        </w:rPr>
        <w:fldChar w:fldCharType="begin"/>
      </w:r>
      <w:r w:rsidR="00C829C7" w:rsidRPr="00C829C7">
        <w:rPr>
          <w:color w:val="0070C0"/>
          <w:lang w:val="en-US"/>
        </w:rPr>
        <w:instrText xml:space="preserve"> HYPERLINK "mailto:" </w:instrText>
      </w:r>
      <w:r w:rsidR="00C829C7" w:rsidRPr="00C829C7">
        <w:rPr>
          <w:color w:val="0070C0"/>
        </w:rPr>
        <w:fldChar w:fldCharType="end"/>
      </w:r>
      <w:bookmarkEnd w:id="0"/>
      <w:r w:rsidR="00663AE1" w:rsidRPr="00C829C7">
        <w:rPr>
          <w:color w:val="0070C0"/>
          <w:sz w:val="22"/>
          <w:szCs w:val="22"/>
          <w:lang w:val="en-GB"/>
        </w:rPr>
        <w:t xml:space="preserve"> </w:t>
      </w:r>
      <w:r w:rsidRPr="00462044">
        <w:rPr>
          <w:sz w:val="22"/>
          <w:szCs w:val="22"/>
          <w:lang w:val="en-GB"/>
        </w:rPr>
        <w:t xml:space="preserve">at the latest 21 days before the deadline for submission of applications stated at section </w:t>
      </w:r>
      <w:r w:rsidRPr="00462044">
        <w:rPr>
          <w:rStyle w:val="Strong"/>
          <w:sz w:val="22"/>
          <w:szCs w:val="22"/>
          <w:lang w:val="en-GB"/>
        </w:rPr>
        <w:t>IV.2.2) of the contract notice</w:t>
      </w:r>
      <w:r w:rsidRPr="00462044">
        <w:rPr>
          <w:sz w:val="22"/>
          <w:szCs w:val="22"/>
          <w:lang w:val="en-GB"/>
        </w:rPr>
        <w:t>.</w:t>
      </w:r>
    </w:p>
    <w:p w14:paraId="1B4D8904" w14:textId="0995F2D2" w:rsidR="00765594" w:rsidRPr="00462044" w:rsidRDefault="00765594" w:rsidP="00FA14D4">
      <w:pPr>
        <w:pStyle w:val="PRAGHeading2"/>
        <w:numPr>
          <w:ilvl w:val="0"/>
          <w:numId w:val="0"/>
        </w:numPr>
        <w:ind w:left="426"/>
        <w:rPr>
          <w:sz w:val="22"/>
          <w:szCs w:val="22"/>
          <w:lang w:val="en-GB"/>
        </w:rPr>
      </w:pPr>
      <w:r w:rsidRPr="00462044">
        <w:rPr>
          <w:sz w:val="22"/>
          <w:szCs w:val="22"/>
          <w:lang w:val="en-GB"/>
        </w:rPr>
        <w:t xml:space="preserve">Clarifications will be published </w:t>
      </w:r>
      <w:r w:rsidR="00FA14D4" w:rsidRPr="00462044">
        <w:rPr>
          <w:sz w:val="22"/>
          <w:szCs w:val="22"/>
          <w:lang w:val="en-GB"/>
        </w:rPr>
        <w:t>on</w:t>
      </w:r>
      <w:r w:rsidR="00FA14D4" w:rsidRPr="00765594">
        <w:rPr>
          <w:snapToGrid/>
          <w:lang w:val="en-IE"/>
        </w:rPr>
        <w:t>:</w:t>
      </w:r>
      <w:r w:rsidR="00462044" w:rsidRPr="00462044">
        <w:rPr>
          <w:snapToGrid/>
          <w:lang w:val="en-GB"/>
        </w:rPr>
        <w:t xml:space="preserve"> </w:t>
      </w:r>
      <w:r w:rsidR="00FA14D4" w:rsidRPr="00C829C7">
        <w:rPr>
          <w:lang w:val="en-US"/>
        </w:rPr>
        <w:t>www.icu.it/en/bandi-di-gara/</w:t>
      </w:r>
      <w:r w:rsidR="00462044" w:rsidRPr="00865765">
        <w:rPr>
          <w:snapToGrid/>
          <w:sz w:val="22"/>
          <w:szCs w:val="22"/>
          <w:lang w:val="en-IE"/>
        </w:rPr>
        <w:t xml:space="preserve"> </w:t>
      </w:r>
      <w:r w:rsidRPr="001E6581">
        <w:rPr>
          <w:sz w:val="22"/>
          <w:szCs w:val="22"/>
          <w:lang w:val="en-GB"/>
        </w:rPr>
        <w:t>at the latest</w:t>
      </w:r>
      <w:r w:rsidRPr="00462044">
        <w:rPr>
          <w:sz w:val="22"/>
          <w:szCs w:val="22"/>
          <w:lang w:val="en-GB"/>
        </w:rPr>
        <w:t xml:space="preserve"> 5 days before the deadline for the submission of applications.</w:t>
      </w:r>
    </w:p>
    <w:p w14:paraId="088E135B" w14:textId="77777777" w:rsidR="00AA22A5" w:rsidRPr="0076156B" w:rsidRDefault="00AA22A5" w:rsidP="005B6500">
      <w:pPr>
        <w:pStyle w:val="PRAGHeading2"/>
        <w:ind w:left="426" w:hanging="426"/>
        <w:jc w:val="both"/>
        <w:rPr>
          <w:rStyle w:val="Strong"/>
          <w:sz w:val="22"/>
          <w:szCs w:val="22"/>
          <w:lang w:val="en-GB"/>
        </w:rPr>
      </w:pPr>
      <w:r w:rsidRPr="0076156B">
        <w:rPr>
          <w:rStyle w:val="Strong"/>
          <w:sz w:val="22"/>
          <w:szCs w:val="22"/>
          <w:lang w:val="en-GB"/>
        </w:rPr>
        <w:t xml:space="preserve">Alteration or withdrawal of </w:t>
      </w:r>
      <w:r w:rsidR="00FF0AD1" w:rsidRPr="0076156B">
        <w:rPr>
          <w:rStyle w:val="Strong"/>
          <w:sz w:val="22"/>
          <w:szCs w:val="22"/>
          <w:lang w:val="en-GB"/>
        </w:rPr>
        <w:t>a</w:t>
      </w:r>
      <w:r w:rsidRPr="0076156B">
        <w:rPr>
          <w:rStyle w:val="Strong"/>
          <w:sz w:val="22"/>
          <w:szCs w:val="22"/>
          <w:lang w:val="en-GB"/>
        </w:rPr>
        <w:t>pplications</w:t>
      </w:r>
    </w:p>
    <w:p w14:paraId="4D8946AD" w14:textId="77777777" w:rsidR="00AA22A5" w:rsidRPr="0076156B" w:rsidRDefault="00AA22A5" w:rsidP="00AA22A5">
      <w:pPr>
        <w:ind w:left="426"/>
        <w:jc w:val="both"/>
        <w:rPr>
          <w:sz w:val="22"/>
          <w:szCs w:val="22"/>
          <w:lang w:val="en-GB"/>
        </w:rPr>
      </w:pPr>
      <w:r w:rsidRPr="0076156B">
        <w:rPr>
          <w:sz w:val="22"/>
          <w:szCs w:val="22"/>
          <w:lang w:val="en-GB"/>
        </w:rPr>
        <w:t xml:space="preserve">Applicants may alter or withdraw their applications by written notification prior to the deadline for submission of applications. No applications may be altered after this deadline. </w:t>
      </w:r>
    </w:p>
    <w:p w14:paraId="266932AA" w14:textId="16373C37" w:rsidR="00AA22A5" w:rsidRDefault="00AA22A5" w:rsidP="00AA22A5">
      <w:pPr>
        <w:ind w:left="426"/>
        <w:jc w:val="both"/>
        <w:rPr>
          <w:sz w:val="22"/>
          <w:szCs w:val="22"/>
          <w:lang w:val="en-GB"/>
        </w:rPr>
      </w:pPr>
      <w:r w:rsidRPr="0076156B">
        <w:rPr>
          <w:sz w:val="22"/>
          <w:szCs w:val="22"/>
          <w:lang w:val="en-GB"/>
        </w:rPr>
        <w:t xml:space="preserve">Any such notification of alteration or withdrawal shall be prepared and submitted in accordance with </w:t>
      </w:r>
      <w:r w:rsidR="00B65865" w:rsidRPr="0076156B">
        <w:rPr>
          <w:sz w:val="22"/>
          <w:szCs w:val="22"/>
          <w:lang w:val="en-GB"/>
        </w:rPr>
        <w:t xml:space="preserve">precedent </w:t>
      </w:r>
      <w:r w:rsidRPr="0076156B">
        <w:rPr>
          <w:sz w:val="22"/>
          <w:szCs w:val="22"/>
          <w:lang w:val="en-GB"/>
        </w:rPr>
        <w:t xml:space="preserve">item. The outer envelope (and the relevant inner envelope if used) must be marked </w:t>
      </w:r>
      <w:r w:rsidR="00FF0AD1" w:rsidRPr="0076156B">
        <w:rPr>
          <w:sz w:val="22"/>
          <w:szCs w:val="22"/>
          <w:lang w:val="en-GB"/>
        </w:rPr>
        <w:t>‘</w:t>
      </w:r>
      <w:r w:rsidRPr="0076156B">
        <w:rPr>
          <w:sz w:val="22"/>
          <w:szCs w:val="22"/>
          <w:lang w:val="en-GB"/>
        </w:rPr>
        <w:t>Alteration</w:t>
      </w:r>
      <w:r w:rsidR="00FF0AD1" w:rsidRPr="0076156B">
        <w:rPr>
          <w:sz w:val="22"/>
          <w:szCs w:val="22"/>
          <w:lang w:val="en-GB"/>
        </w:rPr>
        <w:t>’</w:t>
      </w:r>
      <w:r w:rsidRPr="0076156B">
        <w:rPr>
          <w:sz w:val="22"/>
          <w:szCs w:val="22"/>
          <w:lang w:val="en-GB"/>
        </w:rPr>
        <w:t xml:space="preserve"> or </w:t>
      </w:r>
      <w:r w:rsidR="00FF0AD1" w:rsidRPr="0076156B">
        <w:rPr>
          <w:sz w:val="22"/>
          <w:szCs w:val="22"/>
          <w:lang w:val="en-GB"/>
        </w:rPr>
        <w:t>‘</w:t>
      </w:r>
      <w:r w:rsidRPr="0076156B">
        <w:rPr>
          <w:sz w:val="22"/>
          <w:szCs w:val="22"/>
          <w:lang w:val="en-GB"/>
        </w:rPr>
        <w:t>Withdrawal</w:t>
      </w:r>
      <w:r w:rsidR="00FF0AD1" w:rsidRPr="0076156B">
        <w:rPr>
          <w:sz w:val="22"/>
          <w:szCs w:val="22"/>
          <w:lang w:val="en-GB"/>
        </w:rPr>
        <w:t>’</w:t>
      </w:r>
      <w:r w:rsidRPr="0076156B">
        <w:rPr>
          <w:sz w:val="22"/>
          <w:szCs w:val="22"/>
          <w:lang w:val="en-GB"/>
        </w:rPr>
        <w:t xml:space="preserve"> as appropriate.</w:t>
      </w:r>
    </w:p>
    <w:p w14:paraId="2CC9791A" w14:textId="77777777"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14:paraId="4837B003" w14:textId="77777777"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1B684D91" w14:textId="799A11C0"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 xml:space="preserve">Legal </w:t>
      </w:r>
      <w:r w:rsidR="00EA0609" w:rsidRPr="00641AED">
        <w:rPr>
          <w:b/>
          <w:sz w:val="22"/>
          <w:szCs w:val="22"/>
          <w:lang w:val="en-GB"/>
        </w:rPr>
        <w:t>basis</w:t>
      </w:r>
      <w:r w:rsidR="00EA0609" w:rsidRPr="00641AED">
        <w:rPr>
          <w:sz w:val="22"/>
          <w:szCs w:val="22"/>
          <w:vertAlign w:val="superscript"/>
          <w:lang w:val="en-GB"/>
        </w:rPr>
        <w:footnoteReference w:id="4"/>
      </w:r>
    </w:p>
    <w:p w14:paraId="0DC77713" w14:textId="77777777" w:rsidR="009720EB" w:rsidRDefault="009720EB" w:rsidP="005B6500">
      <w:pPr>
        <w:ind w:left="426"/>
        <w:jc w:val="both"/>
        <w:rPr>
          <w:sz w:val="22"/>
          <w:szCs w:val="22"/>
          <w:lang w:val="en-GB"/>
        </w:rPr>
      </w:pPr>
      <w:r w:rsidRPr="009720EB">
        <w:rPr>
          <w:sz w:val="22"/>
          <w:szCs w:val="22"/>
          <w:lang w:val="en-GB"/>
        </w:rPr>
        <w:t xml:space="preserve">Regulation (EU) No 236/2014 of the European Parliament and of the Council of 11 March 2014 laying down common rules and procedures for the implementation of the Union's instruments for financing external action and this contract is to be financed by ENI - See Annex A2 of the practical guide </w:t>
      </w:r>
    </w:p>
    <w:p w14:paraId="1626FDC8" w14:textId="26A7E8D7"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14:paraId="70E293DB" w14:textId="6249730F" w:rsidR="00337E2A" w:rsidRPr="009D7E12" w:rsidRDefault="00337E2A" w:rsidP="009720EB">
      <w:pPr>
        <w:widowControl/>
        <w:snapToGrid w:val="0"/>
        <w:spacing w:after="0"/>
        <w:ind w:left="426" w:right="360"/>
        <w:jc w:val="both"/>
        <w:rPr>
          <w:sz w:val="22"/>
          <w:szCs w:val="22"/>
          <w:lang w:val="en-GB"/>
        </w:rPr>
      </w:pPr>
      <w:r w:rsidRPr="009D7E12">
        <w:rPr>
          <w:sz w:val="22"/>
          <w:szCs w:val="22"/>
          <w:lang w:val="en-GB"/>
        </w:rPr>
        <w:t xml:space="preserve">Financial data to be provided by the candidate in the standard application form </w:t>
      </w:r>
      <w:r w:rsidR="00860C8E">
        <w:rPr>
          <w:sz w:val="22"/>
          <w:szCs w:val="22"/>
          <w:lang w:val="en-GB"/>
        </w:rPr>
        <w:t xml:space="preserve">or the tenderer in the tender form </w:t>
      </w:r>
      <w:r w:rsidRPr="009D7E12">
        <w:rPr>
          <w:sz w:val="22"/>
          <w:szCs w:val="22"/>
          <w:lang w:val="en-GB"/>
        </w:rPr>
        <w:t xml:space="preserve">must be expressed in </w:t>
      </w:r>
      <w:r w:rsidRPr="009720EB">
        <w:rPr>
          <w:sz w:val="22"/>
          <w:szCs w:val="22"/>
          <w:lang w:val="en-GB"/>
        </w:rPr>
        <w:t>EUR</w:t>
      </w:r>
      <w:r w:rsidRPr="009D7E12">
        <w:rPr>
          <w:sz w:val="22"/>
          <w:szCs w:val="22"/>
          <w:lang w:val="en-GB"/>
        </w:rPr>
        <w:t>. If applicable, where a candidate refers to amounts originally expressed in a different currency, the conversion to</w:t>
      </w:r>
      <w:r w:rsidR="009720EB">
        <w:rPr>
          <w:sz w:val="22"/>
          <w:szCs w:val="22"/>
          <w:lang w:val="en-GB"/>
        </w:rPr>
        <w:t xml:space="preserve"> EUR </w:t>
      </w:r>
      <w:r w:rsidRPr="009D7E12">
        <w:rPr>
          <w:sz w:val="22"/>
          <w:szCs w:val="22"/>
          <w:lang w:val="en-GB"/>
        </w:rPr>
        <w:t xml:space="preserve">shall be made in accordance with the InforEuro exchange rate of </w:t>
      </w:r>
      <w:r w:rsidR="009720EB" w:rsidRPr="009720EB">
        <w:rPr>
          <w:b/>
          <w:sz w:val="22"/>
          <w:szCs w:val="22"/>
          <w:lang w:val="en-GB"/>
        </w:rPr>
        <w:t>MONTH and YEAR</w:t>
      </w:r>
      <w:r w:rsidRPr="009720EB">
        <w:rPr>
          <w:b/>
          <w:sz w:val="22"/>
          <w:szCs w:val="22"/>
          <w:lang w:val="en-GB"/>
        </w:rPr>
        <w:t xml:space="preserve"> </w:t>
      </w:r>
      <w:r w:rsidRPr="009720EB">
        <w:rPr>
          <w:sz w:val="22"/>
          <w:szCs w:val="22"/>
          <w:lang w:val="en-GB"/>
        </w:rPr>
        <w:t>of the applicable InforEuro exchange rate, which can either correspond to the month and year of the publication of the present contract notice or the month and year corresponding to the deadline for submitting applications], which can be found</w:t>
      </w:r>
      <w:r w:rsidRPr="009D7E12">
        <w:rPr>
          <w:sz w:val="22"/>
          <w:szCs w:val="22"/>
          <w:lang w:val="en-GB"/>
        </w:rPr>
        <w:t xml:space="preserve"> at the following address: </w:t>
      </w:r>
      <w:hyperlink r:id="rId10" w:history="1">
        <w:r w:rsidRPr="009D7E12">
          <w:rPr>
            <w:rStyle w:val="Hyperlink"/>
            <w:sz w:val="22"/>
            <w:szCs w:val="22"/>
            <w:lang w:val="en-GB"/>
          </w:rPr>
          <w:t>http://ec.europa.eu/budget/graphs/inforeuro.html</w:t>
        </w:r>
      </w:hyperlink>
      <w:r w:rsidRPr="009D7E12">
        <w:rPr>
          <w:sz w:val="22"/>
          <w:szCs w:val="22"/>
          <w:lang w:val="en-GB"/>
        </w:rPr>
        <w:t>.</w:t>
      </w:r>
    </w:p>
    <w:p w14:paraId="3F4F2D39" w14:textId="77777777" w:rsidR="00337E2A" w:rsidRDefault="00337E2A" w:rsidP="0025703B">
      <w:pPr>
        <w:ind w:left="426"/>
        <w:jc w:val="both"/>
        <w:rPr>
          <w:sz w:val="22"/>
          <w:szCs w:val="22"/>
          <w:lang w:val="en-GB"/>
        </w:rPr>
      </w:pPr>
    </w:p>
    <w:sectPr w:rsidR="00337E2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63305" w14:textId="77777777" w:rsidR="009C3EE3" w:rsidRDefault="009C3EE3" w:rsidP="000A4362">
      <w:pPr>
        <w:spacing w:before="0" w:after="0"/>
      </w:pPr>
      <w:r>
        <w:separator/>
      </w:r>
    </w:p>
  </w:endnote>
  <w:endnote w:type="continuationSeparator" w:id="0">
    <w:p w14:paraId="05FC7C74" w14:textId="77777777" w:rsidR="009C3EE3" w:rsidRDefault="009C3EE3"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BA86" w14:textId="77777777" w:rsidR="0025703B" w:rsidRPr="00865765" w:rsidRDefault="005365BF" w:rsidP="00AC773A">
    <w:pPr>
      <w:pStyle w:val="Footer"/>
      <w:spacing w:before="120"/>
      <w:rPr>
        <w:b/>
        <w:sz w:val="18"/>
        <w:szCs w:val="18"/>
        <w:lang w:val="fr-FR"/>
      </w:rPr>
    </w:pPr>
    <w:r w:rsidRPr="00865765">
      <w:rPr>
        <w:b/>
        <w:sz w:val="18"/>
        <w:szCs w:val="18"/>
        <w:lang w:val="fr-FR"/>
      </w:rPr>
      <w:t>August</w:t>
    </w:r>
    <w:r w:rsidR="001D5AEF" w:rsidRPr="00865765">
      <w:rPr>
        <w:b/>
        <w:sz w:val="18"/>
        <w:szCs w:val="18"/>
        <w:lang w:val="fr-FR"/>
      </w:rPr>
      <w:t xml:space="preserve"> </w:t>
    </w:r>
    <w:r w:rsidR="00C35177" w:rsidRPr="00865765">
      <w:rPr>
        <w:b/>
        <w:sz w:val="18"/>
        <w:szCs w:val="18"/>
        <w:lang w:val="fr-FR"/>
      </w:rPr>
      <w:t>2020</w:t>
    </w:r>
  </w:p>
  <w:p w14:paraId="1DAB80E5" w14:textId="2B6CCD35" w:rsidR="0025703B" w:rsidRPr="0025703B" w:rsidRDefault="0025703B">
    <w:pPr>
      <w:pStyle w:val="Footer"/>
      <w:rPr>
        <w:sz w:val="18"/>
        <w:szCs w:val="18"/>
        <w:lang w:val="en-GB"/>
      </w:rPr>
    </w:pPr>
    <w:r>
      <w:rPr>
        <w:sz w:val="18"/>
        <w:szCs w:val="18"/>
        <w:lang w:val="en-GB"/>
      </w:rPr>
      <w:fldChar w:fldCharType="begin"/>
    </w:r>
    <w:r w:rsidRPr="00865765">
      <w:rPr>
        <w:sz w:val="18"/>
        <w:szCs w:val="18"/>
        <w:lang w:val="fr-FR"/>
      </w:rPr>
      <w:instrText xml:space="preserve"> FILENAME   \* MERGEFORMAT </w:instrText>
    </w:r>
    <w:r>
      <w:rPr>
        <w:sz w:val="18"/>
        <w:szCs w:val="18"/>
        <w:lang w:val="en-GB"/>
      </w:rPr>
      <w:fldChar w:fldCharType="separate"/>
    </w:r>
    <w:r w:rsidR="00AA1DC4" w:rsidRPr="00865765">
      <w:rPr>
        <w:noProof/>
        <w:sz w:val="18"/>
        <w:szCs w:val="18"/>
        <w:lang w:val="fr-FR"/>
      </w:rPr>
      <w:t>a5f_additional_information_contract_notice_en (1)</w:t>
    </w:r>
    <w:r>
      <w:rPr>
        <w:sz w:val="18"/>
        <w:szCs w:val="18"/>
        <w:lang w:val="en-GB"/>
      </w:rPr>
      <w:fldChar w:fldCharType="end"/>
    </w:r>
    <w:r w:rsidRPr="00865765">
      <w:rPr>
        <w:sz w:val="18"/>
        <w:szCs w:val="18"/>
        <w:lang w:val="fr-FR"/>
      </w:rPr>
      <w:tab/>
    </w:r>
    <w:r w:rsidRPr="00865765">
      <w:rPr>
        <w:sz w:val="18"/>
        <w:szCs w:val="18"/>
        <w:lang w:val="fr-FR"/>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C829C7">
      <w:rPr>
        <w:noProof/>
        <w:sz w:val="18"/>
        <w:szCs w:val="18"/>
        <w:lang w:val="en-GB"/>
      </w:rPr>
      <w:t>5</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C829C7">
      <w:rPr>
        <w:noProof/>
        <w:sz w:val="18"/>
        <w:szCs w:val="18"/>
        <w:lang w:val="en-GB"/>
      </w:rPr>
      <w:t>5</w:t>
    </w:r>
    <w:r>
      <w:rPr>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6B8E" w14:textId="77777777" w:rsidR="009C3EE3" w:rsidRDefault="009C3EE3" w:rsidP="000A4362">
      <w:pPr>
        <w:spacing w:before="0" w:after="0"/>
      </w:pPr>
      <w:r>
        <w:separator/>
      </w:r>
    </w:p>
  </w:footnote>
  <w:footnote w:type="continuationSeparator" w:id="0">
    <w:p w14:paraId="142D4343" w14:textId="77777777" w:rsidR="009C3EE3" w:rsidRDefault="009C3EE3" w:rsidP="000A4362">
      <w:pPr>
        <w:spacing w:before="0" w:after="0"/>
      </w:pPr>
      <w:r>
        <w:continuationSeparator/>
      </w:r>
    </w:p>
  </w:footnote>
  <w:footnote w:id="1">
    <w:p w14:paraId="1A48E9D9" w14:textId="7965897F" w:rsidR="00063D84" w:rsidRPr="008F0CEB" w:rsidRDefault="00063D84" w:rsidP="00063D84">
      <w:pPr>
        <w:pStyle w:val="FootnoteText"/>
      </w:pPr>
      <w:r>
        <w:rPr>
          <w:rStyle w:val="FootnoteReference"/>
        </w:rPr>
        <w:footnoteRef/>
      </w:r>
      <w:r>
        <w:t xml:space="preserve"> </w:t>
      </w:r>
      <w:r w:rsidRPr="00992963">
        <w:rPr>
          <w:sz w:val="16"/>
        </w:rPr>
        <w:t xml:space="preserve">European Neighbourhood Instrument </w:t>
      </w:r>
      <w:r>
        <w:rPr>
          <w:sz w:val="16"/>
        </w:rPr>
        <w:t>(</w:t>
      </w:r>
      <w:r w:rsidRPr="00DA7FBD">
        <w:rPr>
          <w:sz w:val="16"/>
        </w:rPr>
        <w:t>ENI</w:t>
      </w:r>
      <w:r>
        <w:rPr>
          <w:sz w:val="16"/>
        </w:rPr>
        <w:t>)</w:t>
      </w:r>
      <w:r w:rsidRPr="00DA7FBD">
        <w:rPr>
          <w:sz w:val="16"/>
        </w:rPr>
        <w:t xml:space="preserve"> Instrument</w:t>
      </w:r>
      <w:r>
        <w:rPr>
          <w:sz w:val="16"/>
        </w:rPr>
        <w:t>.</w:t>
      </w:r>
    </w:p>
  </w:footnote>
  <w:footnote w:id="2">
    <w:p w14:paraId="19D6977F" w14:textId="22112F84" w:rsidR="007550C2" w:rsidRPr="00865765" w:rsidRDefault="007550C2" w:rsidP="007550C2">
      <w:pPr>
        <w:pStyle w:val="FootnoteText"/>
        <w:rPr>
          <w:sz w:val="16"/>
        </w:rPr>
      </w:pPr>
      <w:r>
        <w:rPr>
          <w:rStyle w:val="FootnoteReference"/>
        </w:rPr>
        <w:footnoteRef/>
      </w:r>
      <w:r>
        <w:t xml:space="preserve"> </w:t>
      </w:r>
      <w:r w:rsidRPr="00865765">
        <w:rPr>
          <w:sz w:val="16"/>
        </w:rPr>
        <w:t>For the purpose of this annex, the term ‘origin’ is defined in Chapter 2 of Reg</w:t>
      </w:r>
      <w:r w:rsidRPr="007550C2">
        <w:rPr>
          <w:sz w:val="16"/>
        </w:rPr>
        <w:t>ulation (EC) No 450/2008 of the</w:t>
      </w:r>
      <w:r>
        <w:rPr>
          <w:sz w:val="16"/>
        </w:rPr>
        <w:t xml:space="preserve"> </w:t>
      </w:r>
      <w:r w:rsidRPr="00865765">
        <w:rPr>
          <w:sz w:val="16"/>
        </w:rPr>
        <w:t>European Parliament and of</w:t>
      </w:r>
      <w:r w:rsidRPr="007550C2">
        <w:rPr>
          <w:sz w:val="16"/>
        </w:rPr>
        <w:t xml:space="preserve"> </w:t>
      </w:r>
      <w:r w:rsidRPr="00865765">
        <w:rPr>
          <w:sz w:val="16"/>
        </w:rPr>
        <w:t>the Council of 23 April 2008 laying down the EU Customs Code (Modernised</w:t>
      </w:r>
      <w:r>
        <w:rPr>
          <w:sz w:val="16"/>
        </w:rPr>
        <w:t xml:space="preserve"> </w:t>
      </w:r>
      <w:r w:rsidRPr="00865765">
        <w:rPr>
          <w:sz w:val="16"/>
        </w:rPr>
        <w:t>Customs Code).</w:t>
      </w:r>
    </w:p>
  </w:footnote>
  <w:footnote w:id="3">
    <w:p w14:paraId="50E8EAAA" w14:textId="77777777" w:rsidR="00AE41D2" w:rsidRPr="00C66BF3" w:rsidRDefault="00AE41D2" w:rsidP="00AE41D2">
      <w:pPr>
        <w:pStyle w:val="FootnoteText"/>
      </w:pPr>
      <w:r>
        <w:rPr>
          <w:rStyle w:val="FootnoteReference"/>
        </w:rPr>
        <w:footnoteRef/>
      </w:r>
      <w:r>
        <w:t xml:space="preserve"> </w:t>
      </w:r>
      <w:r w:rsidRPr="00C66BF3">
        <w:t>It is recommended to use registered mail in case the postmark would not be readable</w:t>
      </w:r>
      <w:r>
        <w:t>.</w:t>
      </w:r>
    </w:p>
  </w:footnote>
  <w:footnote w:id="4">
    <w:p w14:paraId="127F6602" w14:textId="77777777" w:rsidR="00EA0609" w:rsidRPr="00602FA2" w:rsidRDefault="00EA0609" w:rsidP="00AC773A">
      <w:pPr>
        <w:pStyle w:val="FootnoteText"/>
        <w:spacing w:after="60"/>
        <w:jc w:val="both"/>
        <w:rPr>
          <w:lang w:val="en-GB"/>
        </w:rPr>
      </w:pPr>
      <w:r w:rsidRPr="00E9465F">
        <w:rPr>
          <w:rStyle w:val="FootnoteReference"/>
        </w:rPr>
        <w:footnoteRef/>
      </w:r>
      <w:r w:rsidR="0085117D" w:rsidRPr="00E9465F">
        <w:rPr>
          <w:lang w:val="en-GB"/>
        </w:rPr>
        <w:t xml:space="preserve"> </w:t>
      </w:r>
      <w:r w:rsidRPr="00E9465F">
        <w:rPr>
          <w:lang w:val="en-GB"/>
        </w:rPr>
        <w:t>Please state any specific</w:t>
      </w:r>
      <w:r w:rsidR="00B2271A" w:rsidRPr="00E9465F">
        <w:rPr>
          <w:lang w:val="en-GB"/>
        </w:rPr>
        <w:t xml:space="preserve">ity </w:t>
      </w:r>
      <w:r w:rsidRPr="00E9465F">
        <w:rPr>
          <w:lang w:val="en-GB"/>
        </w:rPr>
        <w:t>that might have an impact on rules on participation (such as geographic or thematic</w:t>
      </w:r>
      <w:r w:rsidR="00B2271A" w:rsidRPr="00E9465F">
        <w:rPr>
          <w:lang w:val="en-GB"/>
        </w:rPr>
        <w:t xml:space="preserve"> </w:t>
      </w:r>
      <w:r w:rsidRPr="00E9465F">
        <w:rPr>
          <w:lang w:val="en-GB"/>
        </w:rPr>
        <w:t>or long/short term).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8"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3"/>
  </w:num>
  <w:num w:numId="4">
    <w:abstractNumId w:val="9"/>
  </w:num>
  <w:num w:numId="5">
    <w:abstractNumId w:val="7"/>
  </w:num>
  <w:num w:numId="6">
    <w:abstractNumId w:val="13"/>
  </w:num>
  <w:num w:numId="7">
    <w:abstractNumId w:val="2"/>
  </w:num>
  <w:num w:numId="8">
    <w:abstractNumId w:val="4"/>
  </w:num>
  <w:num w:numId="9">
    <w:abstractNumId w:val="14"/>
  </w:num>
  <w:num w:numId="10">
    <w:abstractNumId w:val="12"/>
  </w:num>
  <w:num w:numId="11">
    <w:abstractNumId w:val="8"/>
  </w:num>
  <w:num w:numId="12">
    <w:abstractNumId w:val="2"/>
  </w:num>
  <w:num w:numId="13">
    <w:abstractNumId w:val="15"/>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6"/>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1895"/>
    <w:rsid w:val="00004AC5"/>
    <w:rsid w:val="00005D6E"/>
    <w:rsid w:val="00017B82"/>
    <w:rsid w:val="00051841"/>
    <w:rsid w:val="000522B2"/>
    <w:rsid w:val="000557AC"/>
    <w:rsid w:val="00057B45"/>
    <w:rsid w:val="0006275F"/>
    <w:rsid w:val="00063D84"/>
    <w:rsid w:val="00082B07"/>
    <w:rsid w:val="00087791"/>
    <w:rsid w:val="00095FD2"/>
    <w:rsid w:val="000974B6"/>
    <w:rsid w:val="000977C7"/>
    <w:rsid w:val="0009798E"/>
    <w:rsid w:val="000A2341"/>
    <w:rsid w:val="000A3A2E"/>
    <w:rsid w:val="000A4362"/>
    <w:rsid w:val="000B1B9E"/>
    <w:rsid w:val="000D6A01"/>
    <w:rsid w:val="000E32AA"/>
    <w:rsid w:val="000F1052"/>
    <w:rsid w:val="000F3E10"/>
    <w:rsid w:val="00100AF9"/>
    <w:rsid w:val="00102D0D"/>
    <w:rsid w:val="00104CCC"/>
    <w:rsid w:val="00116ED7"/>
    <w:rsid w:val="00132014"/>
    <w:rsid w:val="00147087"/>
    <w:rsid w:val="001471CB"/>
    <w:rsid w:val="0015020B"/>
    <w:rsid w:val="00170460"/>
    <w:rsid w:val="00177233"/>
    <w:rsid w:val="001910B9"/>
    <w:rsid w:val="001916FC"/>
    <w:rsid w:val="00195EB7"/>
    <w:rsid w:val="001B047D"/>
    <w:rsid w:val="001B078F"/>
    <w:rsid w:val="001B1D0C"/>
    <w:rsid w:val="001D5AEF"/>
    <w:rsid w:val="001E13D9"/>
    <w:rsid w:val="001E6581"/>
    <w:rsid w:val="00202A86"/>
    <w:rsid w:val="0021556B"/>
    <w:rsid w:val="00221638"/>
    <w:rsid w:val="0022168F"/>
    <w:rsid w:val="00227633"/>
    <w:rsid w:val="0023463C"/>
    <w:rsid w:val="00237236"/>
    <w:rsid w:val="002436FE"/>
    <w:rsid w:val="00243858"/>
    <w:rsid w:val="00246FE9"/>
    <w:rsid w:val="0025703B"/>
    <w:rsid w:val="00260CBF"/>
    <w:rsid w:val="00282D58"/>
    <w:rsid w:val="0028659D"/>
    <w:rsid w:val="00297DA2"/>
    <w:rsid w:val="002A54FD"/>
    <w:rsid w:val="002C60BF"/>
    <w:rsid w:val="002C7CF4"/>
    <w:rsid w:val="002D3C7A"/>
    <w:rsid w:val="002F7735"/>
    <w:rsid w:val="00302A1B"/>
    <w:rsid w:val="003076CD"/>
    <w:rsid w:val="00312005"/>
    <w:rsid w:val="00315CF6"/>
    <w:rsid w:val="00322A8F"/>
    <w:rsid w:val="00325936"/>
    <w:rsid w:val="00327723"/>
    <w:rsid w:val="00330C3A"/>
    <w:rsid w:val="003356E3"/>
    <w:rsid w:val="00337E2A"/>
    <w:rsid w:val="003447D9"/>
    <w:rsid w:val="0034580E"/>
    <w:rsid w:val="003474FC"/>
    <w:rsid w:val="00354889"/>
    <w:rsid w:val="003628A1"/>
    <w:rsid w:val="003907E7"/>
    <w:rsid w:val="00393CB9"/>
    <w:rsid w:val="00394749"/>
    <w:rsid w:val="003A523F"/>
    <w:rsid w:val="003A59F6"/>
    <w:rsid w:val="003B2BB4"/>
    <w:rsid w:val="003C15AF"/>
    <w:rsid w:val="003D41C2"/>
    <w:rsid w:val="003D6268"/>
    <w:rsid w:val="003F5490"/>
    <w:rsid w:val="003F6638"/>
    <w:rsid w:val="00401FE1"/>
    <w:rsid w:val="004145AF"/>
    <w:rsid w:val="00423B5E"/>
    <w:rsid w:val="00427637"/>
    <w:rsid w:val="0043633A"/>
    <w:rsid w:val="00440AC2"/>
    <w:rsid w:val="00453B5B"/>
    <w:rsid w:val="00461079"/>
    <w:rsid w:val="00462044"/>
    <w:rsid w:val="00465A93"/>
    <w:rsid w:val="00473B36"/>
    <w:rsid w:val="004759A5"/>
    <w:rsid w:val="00475E52"/>
    <w:rsid w:val="0048313F"/>
    <w:rsid w:val="0048352B"/>
    <w:rsid w:val="00491AFD"/>
    <w:rsid w:val="004A62F5"/>
    <w:rsid w:val="004A6F11"/>
    <w:rsid w:val="004C05B2"/>
    <w:rsid w:val="004C39EE"/>
    <w:rsid w:val="004E1551"/>
    <w:rsid w:val="004F27F5"/>
    <w:rsid w:val="004F48AA"/>
    <w:rsid w:val="004F7108"/>
    <w:rsid w:val="00502B42"/>
    <w:rsid w:val="005163B5"/>
    <w:rsid w:val="0052446D"/>
    <w:rsid w:val="005365BF"/>
    <w:rsid w:val="005407B9"/>
    <w:rsid w:val="00547FDA"/>
    <w:rsid w:val="005526AA"/>
    <w:rsid w:val="005534B9"/>
    <w:rsid w:val="00560B95"/>
    <w:rsid w:val="005663CA"/>
    <w:rsid w:val="00567D11"/>
    <w:rsid w:val="00574013"/>
    <w:rsid w:val="00580EED"/>
    <w:rsid w:val="00590680"/>
    <w:rsid w:val="005A0A93"/>
    <w:rsid w:val="005A62B9"/>
    <w:rsid w:val="005B5668"/>
    <w:rsid w:val="005B6500"/>
    <w:rsid w:val="005B674F"/>
    <w:rsid w:val="005D04F3"/>
    <w:rsid w:val="005D4C9B"/>
    <w:rsid w:val="005E16DC"/>
    <w:rsid w:val="005F443E"/>
    <w:rsid w:val="00601309"/>
    <w:rsid w:val="006263B0"/>
    <w:rsid w:val="00637C7E"/>
    <w:rsid w:val="00641AED"/>
    <w:rsid w:val="0064266F"/>
    <w:rsid w:val="00646037"/>
    <w:rsid w:val="006546D7"/>
    <w:rsid w:val="00656879"/>
    <w:rsid w:val="00662072"/>
    <w:rsid w:val="00663AE1"/>
    <w:rsid w:val="006734BD"/>
    <w:rsid w:val="006740A6"/>
    <w:rsid w:val="0067459C"/>
    <w:rsid w:val="006833DA"/>
    <w:rsid w:val="006A0BB1"/>
    <w:rsid w:val="006A32FA"/>
    <w:rsid w:val="006A6D08"/>
    <w:rsid w:val="006B08DC"/>
    <w:rsid w:val="006B4F4E"/>
    <w:rsid w:val="006B6683"/>
    <w:rsid w:val="006E3521"/>
    <w:rsid w:val="006E7D08"/>
    <w:rsid w:val="006F3C83"/>
    <w:rsid w:val="0070028D"/>
    <w:rsid w:val="00707372"/>
    <w:rsid w:val="0071039B"/>
    <w:rsid w:val="007116B8"/>
    <w:rsid w:val="00714D39"/>
    <w:rsid w:val="00726596"/>
    <w:rsid w:val="00727C2D"/>
    <w:rsid w:val="007353F8"/>
    <w:rsid w:val="00737453"/>
    <w:rsid w:val="007413BF"/>
    <w:rsid w:val="00744127"/>
    <w:rsid w:val="0074581A"/>
    <w:rsid w:val="007508E8"/>
    <w:rsid w:val="007550C2"/>
    <w:rsid w:val="00755178"/>
    <w:rsid w:val="00757D90"/>
    <w:rsid w:val="0076156B"/>
    <w:rsid w:val="00763BB6"/>
    <w:rsid w:val="00765594"/>
    <w:rsid w:val="00790B2B"/>
    <w:rsid w:val="00796AC9"/>
    <w:rsid w:val="007A21C8"/>
    <w:rsid w:val="007B5E37"/>
    <w:rsid w:val="007B6BEA"/>
    <w:rsid w:val="007B7E2F"/>
    <w:rsid w:val="007D177C"/>
    <w:rsid w:val="007D50CE"/>
    <w:rsid w:val="007D6573"/>
    <w:rsid w:val="007F5EFA"/>
    <w:rsid w:val="00812890"/>
    <w:rsid w:val="00815C22"/>
    <w:rsid w:val="00830C47"/>
    <w:rsid w:val="0083255E"/>
    <w:rsid w:val="00834802"/>
    <w:rsid w:val="00836307"/>
    <w:rsid w:val="00846A72"/>
    <w:rsid w:val="0085117D"/>
    <w:rsid w:val="00860C8E"/>
    <w:rsid w:val="00865765"/>
    <w:rsid w:val="00866A95"/>
    <w:rsid w:val="0088144C"/>
    <w:rsid w:val="008A57D3"/>
    <w:rsid w:val="008A63E4"/>
    <w:rsid w:val="008A67AA"/>
    <w:rsid w:val="008B6020"/>
    <w:rsid w:val="008C3E63"/>
    <w:rsid w:val="008C4C0D"/>
    <w:rsid w:val="008C5EDD"/>
    <w:rsid w:val="008C75BB"/>
    <w:rsid w:val="008D6D3D"/>
    <w:rsid w:val="008E0DCE"/>
    <w:rsid w:val="008E28A7"/>
    <w:rsid w:val="008F0CEB"/>
    <w:rsid w:val="008F2845"/>
    <w:rsid w:val="008F5158"/>
    <w:rsid w:val="009041DF"/>
    <w:rsid w:val="00910056"/>
    <w:rsid w:val="009113C2"/>
    <w:rsid w:val="00916CCF"/>
    <w:rsid w:val="00926F10"/>
    <w:rsid w:val="00931C36"/>
    <w:rsid w:val="00935804"/>
    <w:rsid w:val="00941008"/>
    <w:rsid w:val="00943C88"/>
    <w:rsid w:val="009510B2"/>
    <w:rsid w:val="00954209"/>
    <w:rsid w:val="00954DAF"/>
    <w:rsid w:val="009552BC"/>
    <w:rsid w:val="0095536E"/>
    <w:rsid w:val="00964784"/>
    <w:rsid w:val="009714FD"/>
    <w:rsid w:val="009720EB"/>
    <w:rsid w:val="009752D7"/>
    <w:rsid w:val="00990E03"/>
    <w:rsid w:val="00992963"/>
    <w:rsid w:val="00993F6E"/>
    <w:rsid w:val="009A1EC5"/>
    <w:rsid w:val="009A3842"/>
    <w:rsid w:val="009B1463"/>
    <w:rsid w:val="009B6B87"/>
    <w:rsid w:val="009C3EE3"/>
    <w:rsid w:val="009D15E6"/>
    <w:rsid w:val="009D3281"/>
    <w:rsid w:val="009E64BC"/>
    <w:rsid w:val="009F4C6C"/>
    <w:rsid w:val="009F4F7A"/>
    <w:rsid w:val="009F587C"/>
    <w:rsid w:val="00A02A0B"/>
    <w:rsid w:val="00A0441B"/>
    <w:rsid w:val="00A065F7"/>
    <w:rsid w:val="00A067E5"/>
    <w:rsid w:val="00A07901"/>
    <w:rsid w:val="00A10F06"/>
    <w:rsid w:val="00A132FD"/>
    <w:rsid w:val="00A17C31"/>
    <w:rsid w:val="00A21D6F"/>
    <w:rsid w:val="00A2442F"/>
    <w:rsid w:val="00A27427"/>
    <w:rsid w:val="00A3658B"/>
    <w:rsid w:val="00A416F8"/>
    <w:rsid w:val="00A45914"/>
    <w:rsid w:val="00A70054"/>
    <w:rsid w:val="00A7354E"/>
    <w:rsid w:val="00A765FB"/>
    <w:rsid w:val="00A812B5"/>
    <w:rsid w:val="00A94DC5"/>
    <w:rsid w:val="00A9572C"/>
    <w:rsid w:val="00AA1DC4"/>
    <w:rsid w:val="00AA22A5"/>
    <w:rsid w:val="00AB6787"/>
    <w:rsid w:val="00AC05ED"/>
    <w:rsid w:val="00AC0720"/>
    <w:rsid w:val="00AC4ADC"/>
    <w:rsid w:val="00AC773A"/>
    <w:rsid w:val="00AD55C0"/>
    <w:rsid w:val="00AD7E39"/>
    <w:rsid w:val="00AE41D2"/>
    <w:rsid w:val="00B00142"/>
    <w:rsid w:val="00B03D4C"/>
    <w:rsid w:val="00B152FA"/>
    <w:rsid w:val="00B2271A"/>
    <w:rsid w:val="00B43693"/>
    <w:rsid w:val="00B53CF3"/>
    <w:rsid w:val="00B54792"/>
    <w:rsid w:val="00B573FC"/>
    <w:rsid w:val="00B65865"/>
    <w:rsid w:val="00B7403A"/>
    <w:rsid w:val="00B8378B"/>
    <w:rsid w:val="00B96652"/>
    <w:rsid w:val="00BC08E6"/>
    <w:rsid w:val="00C12078"/>
    <w:rsid w:val="00C177AB"/>
    <w:rsid w:val="00C26AED"/>
    <w:rsid w:val="00C35177"/>
    <w:rsid w:val="00C42EDC"/>
    <w:rsid w:val="00C50CF2"/>
    <w:rsid w:val="00C60BF7"/>
    <w:rsid w:val="00C66544"/>
    <w:rsid w:val="00C66BF3"/>
    <w:rsid w:val="00C76190"/>
    <w:rsid w:val="00C80539"/>
    <w:rsid w:val="00C829C7"/>
    <w:rsid w:val="00C932C5"/>
    <w:rsid w:val="00C969A9"/>
    <w:rsid w:val="00CA6501"/>
    <w:rsid w:val="00CB4BC1"/>
    <w:rsid w:val="00CC118D"/>
    <w:rsid w:val="00CC390B"/>
    <w:rsid w:val="00CC5DD2"/>
    <w:rsid w:val="00CD379F"/>
    <w:rsid w:val="00CD5859"/>
    <w:rsid w:val="00CE2DED"/>
    <w:rsid w:val="00CE48B8"/>
    <w:rsid w:val="00CF32FA"/>
    <w:rsid w:val="00CF37FD"/>
    <w:rsid w:val="00CF4F15"/>
    <w:rsid w:val="00CF5041"/>
    <w:rsid w:val="00D06492"/>
    <w:rsid w:val="00D067DA"/>
    <w:rsid w:val="00D06F51"/>
    <w:rsid w:val="00D10755"/>
    <w:rsid w:val="00D12012"/>
    <w:rsid w:val="00D235F9"/>
    <w:rsid w:val="00D23AC1"/>
    <w:rsid w:val="00D3784C"/>
    <w:rsid w:val="00D404E7"/>
    <w:rsid w:val="00D412C6"/>
    <w:rsid w:val="00D44957"/>
    <w:rsid w:val="00D56FD2"/>
    <w:rsid w:val="00D67B78"/>
    <w:rsid w:val="00D7181A"/>
    <w:rsid w:val="00D73C07"/>
    <w:rsid w:val="00D777E5"/>
    <w:rsid w:val="00D80B98"/>
    <w:rsid w:val="00D85693"/>
    <w:rsid w:val="00D8757C"/>
    <w:rsid w:val="00DB0471"/>
    <w:rsid w:val="00DC5622"/>
    <w:rsid w:val="00DC6227"/>
    <w:rsid w:val="00DE16BC"/>
    <w:rsid w:val="00DF02A7"/>
    <w:rsid w:val="00DF25E2"/>
    <w:rsid w:val="00E04B6B"/>
    <w:rsid w:val="00E17808"/>
    <w:rsid w:val="00E23C0A"/>
    <w:rsid w:val="00E26496"/>
    <w:rsid w:val="00E27999"/>
    <w:rsid w:val="00E34488"/>
    <w:rsid w:val="00E42B75"/>
    <w:rsid w:val="00E4720B"/>
    <w:rsid w:val="00E4799E"/>
    <w:rsid w:val="00E51E24"/>
    <w:rsid w:val="00E8713A"/>
    <w:rsid w:val="00E9465F"/>
    <w:rsid w:val="00EA0095"/>
    <w:rsid w:val="00EA0467"/>
    <w:rsid w:val="00EA0609"/>
    <w:rsid w:val="00EA2D56"/>
    <w:rsid w:val="00EA6C7C"/>
    <w:rsid w:val="00EC1F52"/>
    <w:rsid w:val="00EC56E1"/>
    <w:rsid w:val="00EE2877"/>
    <w:rsid w:val="00EE3127"/>
    <w:rsid w:val="00EF7595"/>
    <w:rsid w:val="00EF7E34"/>
    <w:rsid w:val="00F00CFF"/>
    <w:rsid w:val="00F1521C"/>
    <w:rsid w:val="00F15DF2"/>
    <w:rsid w:val="00F33CD5"/>
    <w:rsid w:val="00F3509D"/>
    <w:rsid w:val="00F36595"/>
    <w:rsid w:val="00F47AC0"/>
    <w:rsid w:val="00F501B1"/>
    <w:rsid w:val="00F51255"/>
    <w:rsid w:val="00F569B4"/>
    <w:rsid w:val="00F65592"/>
    <w:rsid w:val="00F73201"/>
    <w:rsid w:val="00F747E1"/>
    <w:rsid w:val="00F87B91"/>
    <w:rsid w:val="00F90C25"/>
    <w:rsid w:val="00F91380"/>
    <w:rsid w:val="00F93AB7"/>
    <w:rsid w:val="00F94BEC"/>
    <w:rsid w:val="00F96B0B"/>
    <w:rsid w:val="00FA14D4"/>
    <w:rsid w:val="00FA24DB"/>
    <w:rsid w:val="00FB3733"/>
    <w:rsid w:val="00FB3AEC"/>
    <w:rsid w:val="00FB4D99"/>
    <w:rsid w:val="00FB5475"/>
    <w:rsid w:val="00FB590F"/>
    <w:rsid w:val="00FB780D"/>
    <w:rsid w:val="00FC1027"/>
    <w:rsid w:val="00FC1FF0"/>
    <w:rsid w:val="00FC4164"/>
    <w:rsid w:val="00FD1C91"/>
    <w:rsid w:val="00FE4F92"/>
    <w:rsid w:val="00FE62A7"/>
    <w:rsid w:val="00FE7DF8"/>
    <w:rsid w:val="00FF0AD1"/>
    <w:rsid w:val="00FF4A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2">
    <w:name w:val="heading 2"/>
    <w:basedOn w:val="Normal"/>
    <w:next w:val="Normal"/>
    <w:link w:val="Heading2Char"/>
    <w:uiPriority w:val="9"/>
    <w:semiHidden/>
    <w:unhideWhenUsed/>
    <w:qFormat/>
    <w:rsid w:val="008F0C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table" w:customStyle="1" w:styleId="63">
    <w:name w:val="63"/>
    <w:basedOn w:val="TableNormal"/>
    <w:rsid w:val="00F1521C"/>
    <w:pPr>
      <w:spacing w:after="0" w:line="240" w:lineRule="auto"/>
    </w:pPr>
    <w:rPr>
      <w:rFonts w:ascii="Times New Roman" w:eastAsia="Times New Roman" w:hAnsi="Times New Roman" w:cs="Times New Roman"/>
      <w:sz w:val="20"/>
      <w:szCs w:val="20"/>
      <w:lang w:val="en-US"/>
    </w:rPr>
    <w:tblPr>
      <w:tblStyleRowBandSize w:val="1"/>
      <w:tblStyleColBandSize w:val="1"/>
    </w:tblPr>
  </w:style>
  <w:style w:type="paragraph" w:styleId="EndnoteText">
    <w:name w:val="endnote text"/>
    <w:basedOn w:val="Normal"/>
    <w:link w:val="EndnoteTextChar"/>
    <w:uiPriority w:val="99"/>
    <w:semiHidden/>
    <w:unhideWhenUsed/>
    <w:rsid w:val="007550C2"/>
    <w:pPr>
      <w:spacing w:before="0" w:after="0"/>
    </w:pPr>
    <w:rPr>
      <w:sz w:val="20"/>
    </w:rPr>
  </w:style>
  <w:style w:type="character" w:customStyle="1" w:styleId="EndnoteTextChar">
    <w:name w:val="Endnote Text Char"/>
    <w:basedOn w:val="DefaultParagraphFont"/>
    <w:link w:val="EndnoteText"/>
    <w:uiPriority w:val="99"/>
    <w:semiHidden/>
    <w:rsid w:val="007550C2"/>
    <w:rPr>
      <w:rFonts w:ascii="Times New Roman" w:eastAsia="Times New Roman" w:hAnsi="Times New Roman" w:cs="Times New Roman"/>
      <w:snapToGrid w:val="0"/>
      <w:sz w:val="20"/>
      <w:szCs w:val="20"/>
      <w:lang w:val="en-US"/>
    </w:rPr>
  </w:style>
  <w:style w:type="character" w:styleId="EndnoteReference">
    <w:name w:val="endnote reference"/>
    <w:basedOn w:val="DefaultParagraphFont"/>
    <w:uiPriority w:val="99"/>
    <w:semiHidden/>
    <w:unhideWhenUsed/>
    <w:rsid w:val="007550C2"/>
    <w:rPr>
      <w:vertAlign w:val="superscript"/>
    </w:rPr>
  </w:style>
  <w:style w:type="character" w:customStyle="1" w:styleId="Heading2Char">
    <w:name w:val="Heading 2 Char"/>
    <w:basedOn w:val="DefaultParagraphFont"/>
    <w:link w:val="Heading2"/>
    <w:uiPriority w:val="9"/>
    <w:semiHidden/>
    <w:rsid w:val="008F0CEB"/>
    <w:rPr>
      <w:rFonts w:asciiTheme="majorHAnsi" w:eastAsiaTheme="majorEastAsia" w:hAnsiTheme="majorHAnsi" w:cstheme="majorBidi"/>
      <w:snapToGrid w:val="0"/>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it/en/bandi-di-ga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mailto:tender.lebanon@ic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3AE0-8F56-4CC2-9923-6A4B0D33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1900</Words>
  <Characters>10833</Characters>
  <Application>Microsoft Office Word</Application>
  <DocSecurity>0</DocSecurity>
  <Lines>90</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user</cp:lastModifiedBy>
  <cp:revision>8</cp:revision>
  <cp:lastPrinted>2020-11-25T12:45:00Z</cp:lastPrinted>
  <dcterms:created xsi:type="dcterms:W3CDTF">2020-11-26T18:50:00Z</dcterms:created>
  <dcterms:modified xsi:type="dcterms:W3CDTF">2020-11-27T09:52:00Z</dcterms:modified>
</cp:coreProperties>
</file>