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52C13" w14:textId="20F8B1AB" w:rsidR="00ED4710" w:rsidRDefault="0094201C" w:rsidP="002D582B">
      <w:pPr>
        <w:pStyle w:val="DocumentSubtitle"/>
        <w:jc w:val="center"/>
      </w:pPr>
      <w:r>
        <w:t>Regional Gender Equality Roadmap</w:t>
      </w:r>
      <w:r w:rsidR="00ED4710">
        <w:t xml:space="preserve">: </w:t>
      </w:r>
    </w:p>
    <w:p w14:paraId="1216D689" w14:textId="26BEFC63" w:rsidR="002D582B" w:rsidRDefault="00ED4710" w:rsidP="002D582B">
      <w:pPr>
        <w:pStyle w:val="DocumentSubtitle"/>
        <w:jc w:val="center"/>
      </w:pPr>
      <w:r>
        <w:t xml:space="preserve">Consultant </w:t>
      </w:r>
      <w:r w:rsidR="002D582B">
        <w:t xml:space="preserve">Terms of Reference </w:t>
      </w:r>
    </w:p>
    <w:p w14:paraId="4FE6B02D" w14:textId="2BDEBCE1" w:rsidR="002D582B" w:rsidRDefault="002D582B" w:rsidP="002D582B">
      <w:pPr>
        <w:pStyle w:val="DocumentDescription"/>
      </w:pPr>
    </w:p>
    <w:p w14:paraId="1B00D111" w14:textId="24B8B2F5" w:rsidR="002D582B" w:rsidRDefault="00ED4710" w:rsidP="002D582B">
      <w:pPr>
        <w:pStyle w:val="DocumentDescription"/>
        <w:jc w:val="center"/>
        <w:rPr>
          <w:sz w:val="36"/>
          <w:szCs w:val="44"/>
        </w:rPr>
      </w:pPr>
      <w:r>
        <w:rPr>
          <w:sz w:val="36"/>
          <w:szCs w:val="44"/>
        </w:rPr>
        <w:t>Middle East and Eastern Europe Regional Office</w:t>
      </w:r>
    </w:p>
    <w:p w14:paraId="780C2322" w14:textId="70F77871" w:rsidR="002D582B" w:rsidRDefault="002D582B" w:rsidP="002D582B">
      <w:pPr>
        <w:pStyle w:val="DocumentDescription"/>
        <w:jc w:val="center"/>
        <w:rPr>
          <w:sz w:val="36"/>
          <w:szCs w:val="44"/>
        </w:rPr>
      </w:pPr>
      <w:bookmarkStart w:id="0" w:name="_GoBack"/>
      <w:bookmarkEnd w:id="0"/>
    </w:p>
    <w:p w14:paraId="60D483CE" w14:textId="220EF735" w:rsidR="002D582B" w:rsidRPr="001D630C" w:rsidRDefault="0094201C" w:rsidP="002D582B">
      <w:pPr>
        <w:pStyle w:val="DocumentDescription"/>
        <w:jc w:val="center"/>
        <w:rPr>
          <w:sz w:val="32"/>
          <w:szCs w:val="36"/>
        </w:rPr>
      </w:pPr>
      <w:r>
        <w:rPr>
          <w:sz w:val="32"/>
          <w:szCs w:val="36"/>
        </w:rPr>
        <w:t>10-June</w:t>
      </w:r>
      <w:r w:rsidR="00ED4710">
        <w:rPr>
          <w:sz w:val="32"/>
          <w:szCs w:val="36"/>
        </w:rPr>
        <w:t xml:space="preserve"> 2021</w:t>
      </w:r>
    </w:p>
    <w:p w14:paraId="2397EE39" w14:textId="77777777" w:rsidR="008641E3" w:rsidRPr="00F56B8B" w:rsidRDefault="008641E3" w:rsidP="00C836F0">
      <w:pPr>
        <w:pStyle w:val="DocumentDescription"/>
        <w:rPr>
          <w:rFonts w:ascii="Calibri" w:hAnsi="Calibri" w:cs="Calibri"/>
          <w:sz w:val="22"/>
        </w:rPr>
      </w:pPr>
    </w:p>
    <w:p w14:paraId="6AA839FD" w14:textId="77777777" w:rsidR="00F56B8B" w:rsidRPr="00F56B8B" w:rsidRDefault="00F56B8B" w:rsidP="00F56B8B"/>
    <w:p w14:paraId="36E1CF2C" w14:textId="000FEEB0" w:rsidR="00A23707" w:rsidRPr="00D7668E" w:rsidRDefault="00ED4710" w:rsidP="00502B54">
      <w:pPr>
        <w:pStyle w:val="Heading1"/>
        <w:numPr>
          <w:ilvl w:val="0"/>
          <w:numId w:val="5"/>
        </w:numPr>
        <w:spacing w:after="0" w:line="240" w:lineRule="auto"/>
        <w:rPr>
          <w:b/>
          <w:sz w:val="28"/>
        </w:rPr>
      </w:pPr>
      <w:r w:rsidRPr="00D7668E">
        <w:rPr>
          <w:b/>
          <w:sz w:val="28"/>
        </w:rPr>
        <w:t>BACKGROUND</w:t>
      </w:r>
    </w:p>
    <w:p w14:paraId="7442BFC0" w14:textId="77777777" w:rsidR="0094201C" w:rsidRPr="0094201C" w:rsidRDefault="0094201C" w:rsidP="0094201C">
      <w:pPr>
        <w:spacing w:after="0" w:line="240" w:lineRule="auto"/>
        <w:jc w:val="both"/>
        <w:rPr>
          <w:rFonts w:ascii="Calibri" w:hAnsi="Calibri" w:cs="Calibri"/>
        </w:rPr>
      </w:pPr>
      <w:r w:rsidRPr="0094201C">
        <w:rPr>
          <w:rFonts w:ascii="Calibri" w:hAnsi="Calibri" w:cs="Calibri"/>
        </w:rPr>
        <w:t xml:space="preserve">Save the Children is the world’s leading independent organisation for children with a vision of a world in which every child attains the right to survival, protection, development and participation.  Save the Children works in 117 countries, including 12 Country Programs in the Middle East and Eastern European (MEEE) Region. </w:t>
      </w:r>
    </w:p>
    <w:p w14:paraId="3FC3268E" w14:textId="77777777" w:rsidR="0094201C" w:rsidRPr="0094201C" w:rsidRDefault="0094201C" w:rsidP="0094201C">
      <w:pPr>
        <w:spacing w:after="0" w:line="240" w:lineRule="auto"/>
        <w:jc w:val="both"/>
        <w:rPr>
          <w:rFonts w:ascii="Calibri" w:hAnsi="Calibri" w:cs="Calibri"/>
        </w:rPr>
      </w:pPr>
    </w:p>
    <w:p w14:paraId="3CAAEE87" w14:textId="77777777" w:rsidR="0094201C" w:rsidRPr="00205F39" w:rsidRDefault="0094201C" w:rsidP="0094201C">
      <w:pPr>
        <w:spacing w:after="0" w:line="240" w:lineRule="auto"/>
        <w:jc w:val="both"/>
      </w:pPr>
      <w:r w:rsidRPr="0094201C">
        <w:rPr>
          <w:rFonts w:ascii="Calibri" w:hAnsi="Calibri" w:cs="Calibri"/>
        </w:rPr>
        <w:t>Save the Children believes that it is critical to directly address gender discrimination and promote gender equality in order to ensure that no harm comes to children, and to advance our vision for a world where every child attains their equal right to survival, protection, development, and participation.  Recognising that gender equality is central to Save the Children’s mission and vision, it is evident that Country Offices (COs) in the region have diverse experiences in promoting and implementing gender equality through their work, seeing progress and challenges in different areas.  In the lead in to a new 3-year Strategy period for Save the Children globally, it is timely to assess progress, and identify common priorities for the region to</w:t>
      </w:r>
      <w:r w:rsidRPr="00205F39">
        <w:t xml:space="preserve"> inform the scope and focus of future work to advance gender equality outcomes.  </w:t>
      </w:r>
    </w:p>
    <w:p w14:paraId="30917B52" w14:textId="77777777" w:rsidR="00C836F0" w:rsidRDefault="00C836F0" w:rsidP="00101DC1">
      <w:pPr>
        <w:spacing w:after="0" w:line="240" w:lineRule="auto"/>
        <w:jc w:val="both"/>
      </w:pPr>
    </w:p>
    <w:p w14:paraId="2372F7C4" w14:textId="3D967D84" w:rsidR="00A81AE0" w:rsidRPr="00D7668E" w:rsidRDefault="00ED4710" w:rsidP="00502B54">
      <w:pPr>
        <w:pStyle w:val="Heading1"/>
        <w:numPr>
          <w:ilvl w:val="0"/>
          <w:numId w:val="5"/>
        </w:numPr>
        <w:spacing w:after="0" w:line="240" w:lineRule="auto"/>
        <w:rPr>
          <w:b/>
          <w:sz w:val="28"/>
        </w:rPr>
      </w:pPr>
      <w:r w:rsidRPr="00D7668E">
        <w:rPr>
          <w:b/>
          <w:sz w:val="28"/>
        </w:rPr>
        <w:t>OVERALL PURPOSE of the Consultancy</w:t>
      </w:r>
    </w:p>
    <w:p w14:paraId="0E7504CE" w14:textId="77777777" w:rsidR="0094201C" w:rsidRPr="0094201C" w:rsidRDefault="0094201C" w:rsidP="0094201C">
      <w:pPr>
        <w:spacing w:after="0" w:line="240" w:lineRule="auto"/>
        <w:jc w:val="both"/>
        <w:rPr>
          <w:rFonts w:ascii="Calibri" w:hAnsi="Calibri" w:cs="Calibri"/>
        </w:rPr>
      </w:pPr>
      <w:r w:rsidRPr="0094201C">
        <w:rPr>
          <w:rFonts w:ascii="Calibri" w:hAnsi="Calibri" w:cs="Calibri"/>
        </w:rPr>
        <w:t>To develop a MEEE GE Programming Roadmap, based on current practice, which clearly articulates core priorities across the region to advance gender equality.  Priorities identified are likely to cover a range of areas, including specific areas for internal capacity strengthening, priorities for advancing GE with partners, amongst others.  The Roadmap generated will cover priorities for the period 2022 – 2024.  It must be practical, feasible and built from SCI views and priorities across the region.</w:t>
      </w:r>
    </w:p>
    <w:p w14:paraId="3A46166C" w14:textId="77777777" w:rsidR="0094201C" w:rsidRPr="0094201C" w:rsidRDefault="0094201C" w:rsidP="0094201C">
      <w:pPr>
        <w:spacing w:after="0" w:line="240" w:lineRule="auto"/>
        <w:jc w:val="both"/>
        <w:rPr>
          <w:rFonts w:ascii="Calibri" w:hAnsi="Calibri" w:cs="Calibri"/>
        </w:rPr>
      </w:pPr>
    </w:p>
    <w:p w14:paraId="2DD700EE" w14:textId="312C79F4" w:rsidR="0094201C" w:rsidRPr="0094201C" w:rsidRDefault="0094201C" w:rsidP="0094201C">
      <w:pPr>
        <w:spacing w:after="0" w:line="240" w:lineRule="auto"/>
        <w:jc w:val="both"/>
        <w:rPr>
          <w:rFonts w:ascii="Calibri" w:hAnsi="Calibri" w:cs="Calibri"/>
        </w:rPr>
      </w:pPr>
      <w:r w:rsidRPr="0094201C">
        <w:rPr>
          <w:rFonts w:ascii="Calibri" w:hAnsi="Calibri" w:cs="Calibri"/>
        </w:rPr>
        <w:t>The final Roadmap will be based on an analysis of SCI’s current practice strengths, gaps, investments, challenges, lessons learned to date and opportunities; analysis of priorities identified by COs and the Regional Office</w:t>
      </w:r>
      <w:r w:rsidR="00210A59">
        <w:rPr>
          <w:rFonts w:ascii="Calibri" w:hAnsi="Calibri" w:cs="Calibri"/>
        </w:rPr>
        <w:t xml:space="preserve"> as well as SCI at global level</w:t>
      </w:r>
      <w:r w:rsidRPr="0094201C">
        <w:rPr>
          <w:rFonts w:ascii="Calibri" w:hAnsi="Calibri" w:cs="Calibri"/>
        </w:rPr>
        <w:t>; and consideration of external factors such as the partner landscape and donor priorities.  Examples of good practice will be identified and documented. The Roadmap should answer the questions: What will be done in relation to advancing GE across the region and within COs? By whom? What is the scope and why were certain areas prioritised? What resource allocation is required? How will it happen?</w:t>
      </w:r>
    </w:p>
    <w:p w14:paraId="2C4B802E" w14:textId="77777777" w:rsidR="0094201C" w:rsidRPr="0094201C" w:rsidRDefault="0094201C" w:rsidP="0094201C">
      <w:pPr>
        <w:spacing w:after="0" w:line="240" w:lineRule="auto"/>
        <w:jc w:val="both"/>
        <w:rPr>
          <w:rFonts w:ascii="Calibri" w:hAnsi="Calibri" w:cs="Calibri"/>
        </w:rPr>
      </w:pPr>
    </w:p>
    <w:p w14:paraId="678136C1" w14:textId="49CCE8B2" w:rsidR="0094201C" w:rsidRDefault="0094201C" w:rsidP="0094201C">
      <w:pPr>
        <w:spacing w:after="0" w:line="240" w:lineRule="auto"/>
        <w:jc w:val="both"/>
        <w:rPr>
          <w:rFonts w:ascii="Calibri" w:hAnsi="Calibri" w:cs="Calibri"/>
        </w:rPr>
      </w:pPr>
      <w:r w:rsidRPr="0094201C">
        <w:rPr>
          <w:rFonts w:ascii="Calibri" w:hAnsi="Calibri" w:cs="Calibri"/>
        </w:rPr>
        <w:t>The scope of this analysis and the Roadmap to be generated is largely around programming and advocacy, and will be refined and agreed with SCI early in the consultancy.  This will include, but not be limited to, analysis of GE:</w:t>
      </w:r>
    </w:p>
    <w:p w14:paraId="17794AAE" w14:textId="77777777" w:rsidR="0094201C" w:rsidRPr="0094201C" w:rsidRDefault="0094201C" w:rsidP="0094201C">
      <w:pPr>
        <w:pStyle w:val="ListParagraph"/>
        <w:numPr>
          <w:ilvl w:val="0"/>
          <w:numId w:val="12"/>
        </w:numPr>
        <w:spacing w:after="0" w:line="240" w:lineRule="auto"/>
        <w:jc w:val="both"/>
        <w:rPr>
          <w:rFonts w:ascii="Calibri" w:hAnsi="Calibri" w:cs="Calibri"/>
          <w:i w:val="0"/>
          <w:sz w:val="22"/>
          <w:szCs w:val="22"/>
        </w:rPr>
      </w:pPr>
      <w:r w:rsidRPr="0094201C">
        <w:rPr>
          <w:rFonts w:ascii="Calibri" w:hAnsi="Calibri" w:cs="Calibri"/>
          <w:i w:val="0"/>
          <w:sz w:val="22"/>
          <w:szCs w:val="22"/>
        </w:rPr>
        <w:t>priorities outlined in strategic documents</w:t>
      </w:r>
    </w:p>
    <w:p w14:paraId="2332B786" w14:textId="77777777" w:rsidR="0094201C" w:rsidRPr="0094201C" w:rsidRDefault="0094201C" w:rsidP="0094201C">
      <w:pPr>
        <w:pStyle w:val="ListParagraph"/>
        <w:numPr>
          <w:ilvl w:val="0"/>
          <w:numId w:val="12"/>
        </w:numPr>
        <w:spacing w:after="0" w:line="240" w:lineRule="auto"/>
        <w:jc w:val="both"/>
        <w:rPr>
          <w:rFonts w:ascii="Calibri" w:hAnsi="Calibri" w:cs="Calibri"/>
          <w:i w:val="0"/>
          <w:sz w:val="22"/>
          <w:szCs w:val="22"/>
        </w:rPr>
      </w:pPr>
      <w:r w:rsidRPr="0094201C">
        <w:rPr>
          <w:rFonts w:ascii="Calibri" w:hAnsi="Calibri" w:cs="Calibri"/>
          <w:i w:val="0"/>
          <w:sz w:val="22"/>
          <w:szCs w:val="22"/>
        </w:rPr>
        <w:t>funding of GE work and KPI data on GE in project design</w:t>
      </w:r>
    </w:p>
    <w:p w14:paraId="6BB76000" w14:textId="77777777" w:rsidR="0094201C" w:rsidRPr="0094201C" w:rsidRDefault="0094201C" w:rsidP="0094201C">
      <w:pPr>
        <w:pStyle w:val="ListParagraph"/>
        <w:numPr>
          <w:ilvl w:val="0"/>
          <w:numId w:val="12"/>
        </w:numPr>
        <w:spacing w:after="0" w:line="240" w:lineRule="auto"/>
        <w:jc w:val="both"/>
        <w:rPr>
          <w:rFonts w:ascii="Calibri" w:hAnsi="Calibri" w:cs="Calibri"/>
          <w:i w:val="0"/>
          <w:sz w:val="22"/>
          <w:szCs w:val="22"/>
        </w:rPr>
      </w:pPr>
      <w:r w:rsidRPr="0094201C">
        <w:rPr>
          <w:rFonts w:ascii="Calibri" w:hAnsi="Calibri" w:cs="Calibri"/>
          <w:i w:val="0"/>
          <w:sz w:val="22"/>
          <w:szCs w:val="22"/>
        </w:rPr>
        <w:lastRenderedPageBreak/>
        <w:t>current practice / priorities and responsibilities within key processes (such as project assessments and designs</w:t>
      </w:r>
    </w:p>
    <w:p w14:paraId="74EAD569" w14:textId="77777777" w:rsidR="0094201C" w:rsidRPr="0094201C" w:rsidRDefault="0094201C" w:rsidP="0094201C">
      <w:pPr>
        <w:pStyle w:val="ListParagraph"/>
        <w:numPr>
          <w:ilvl w:val="0"/>
          <w:numId w:val="12"/>
        </w:numPr>
        <w:spacing w:after="0" w:line="240" w:lineRule="auto"/>
        <w:jc w:val="both"/>
        <w:rPr>
          <w:rFonts w:ascii="Calibri" w:hAnsi="Calibri" w:cs="Calibri"/>
          <w:i w:val="0"/>
          <w:sz w:val="22"/>
          <w:szCs w:val="22"/>
        </w:rPr>
      </w:pPr>
      <w:r w:rsidRPr="0094201C">
        <w:rPr>
          <w:rFonts w:ascii="Calibri" w:hAnsi="Calibri" w:cs="Calibri"/>
          <w:i w:val="0"/>
          <w:sz w:val="22"/>
          <w:szCs w:val="22"/>
        </w:rPr>
        <w:t>Partnership practice, for example partnership selection processes and capacity strengthening activities</w:t>
      </w:r>
    </w:p>
    <w:p w14:paraId="700A0F42" w14:textId="77777777" w:rsidR="0094201C" w:rsidRPr="0094201C" w:rsidRDefault="0094201C" w:rsidP="0094201C">
      <w:pPr>
        <w:pStyle w:val="ListParagraph"/>
        <w:numPr>
          <w:ilvl w:val="0"/>
          <w:numId w:val="12"/>
        </w:numPr>
        <w:spacing w:after="0" w:line="240" w:lineRule="auto"/>
        <w:jc w:val="both"/>
        <w:rPr>
          <w:rFonts w:ascii="Calibri" w:hAnsi="Calibri" w:cs="Calibri"/>
          <w:i w:val="0"/>
          <w:sz w:val="22"/>
          <w:szCs w:val="22"/>
        </w:rPr>
      </w:pPr>
      <w:r w:rsidRPr="0094201C">
        <w:rPr>
          <w:rFonts w:ascii="Calibri" w:hAnsi="Calibri" w:cs="Calibri"/>
          <w:i w:val="0"/>
          <w:sz w:val="22"/>
          <w:szCs w:val="22"/>
        </w:rPr>
        <w:t>Systems for collection, analysis and use of sex and age disaggregated data</w:t>
      </w:r>
    </w:p>
    <w:p w14:paraId="4CF84964" w14:textId="6D7568BE" w:rsidR="0094201C" w:rsidRPr="0094201C" w:rsidRDefault="0094201C" w:rsidP="0094201C">
      <w:pPr>
        <w:pStyle w:val="ListParagraph"/>
        <w:numPr>
          <w:ilvl w:val="0"/>
          <w:numId w:val="12"/>
        </w:numPr>
        <w:spacing w:after="0" w:line="240" w:lineRule="auto"/>
        <w:jc w:val="both"/>
        <w:rPr>
          <w:rFonts w:ascii="Calibri" w:hAnsi="Calibri" w:cs="Calibri"/>
          <w:i w:val="0"/>
          <w:sz w:val="22"/>
          <w:szCs w:val="22"/>
        </w:rPr>
      </w:pPr>
      <w:r w:rsidRPr="0094201C">
        <w:rPr>
          <w:rFonts w:ascii="Calibri" w:hAnsi="Calibri" w:cs="Calibri"/>
          <w:i w:val="0"/>
          <w:sz w:val="22"/>
          <w:szCs w:val="22"/>
        </w:rPr>
        <w:t>Broader MEAL processes,</w:t>
      </w:r>
      <w:r>
        <w:rPr>
          <w:rFonts w:ascii="Calibri" w:hAnsi="Calibri" w:cs="Calibri"/>
          <w:i w:val="0"/>
          <w:sz w:val="22"/>
          <w:szCs w:val="22"/>
        </w:rPr>
        <w:t xml:space="preserve"> </w:t>
      </w:r>
      <w:r w:rsidRPr="0094201C">
        <w:rPr>
          <w:rFonts w:ascii="Calibri" w:hAnsi="Calibri" w:cs="Calibri"/>
          <w:i w:val="0"/>
          <w:sz w:val="22"/>
          <w:szCs w:val="22"/>
        </w:rPr>
        <w:t>such as program learning agendas, MEAL data collection methodologies and teams, accountability mechanisms</w:t>
      </w:r>
    </w:p>
    <w:p w14:paraId="6C246940" w14:textId="77777777" w:rsidR="0094201C" w:rsidRPr="0094201C" w:rsidRDefault="0094201C" w:rsidP="0094201C">
      <w:pPr>
        <w:pStyle w:val="ListParagraph"/>
        <w:numPr>
          <w:ilvl w:val="0"/>
          <w:numId w:val="12"/>
        </w:numPr>
        <w:spacing w:after="0" w:line="240" w:lineRule="auto"/>
        <w:jc w:val="both"/>
        <w:rPr>
          <w:rFonts w:ascii="Calibri" w:hAnsi="Calibri" w:cs="Calibri"/>
          <w:i w:val="0"/>
          <w:sz w:val="22"/>
          <w:szCs w:val="22"/>
        </w:rPr>
      </w:pPr>
      <w:r w:rsidRPr="0094201C">
        <w:rPr>
          <w:rFonts w:ascii="Calibri" w:hAnsi="Calibri" w:cs="Calibri"/>
          <w:i w:val="0"/>
          <w:sz w:val="22"/>
          <w:szCs w:val="22"/>
        </w:rPr>
        <w:t xml:space="preserve">Linkages with technical approaches, for example how GE is considered through technical approaches used in Child Protection, Education, Health, Cash programming, </w:t>
      </w:r>
      <w:proofErr w:type="spellStart"/>
      <w:r w:rsidRPr="0094201C">
        <w:rPr>
          <w:rFonts w:ascii="Calibri" w:hAnsi="Calibri" w:cs="Calibri"/>
          <w:i w:val="0"/>
          <w:sz w:val="22"/>
          <w:szCs w:val="22"/>
        </w:rPr>
        <w:t>etc</w:t>
      </w:r>
      <w:proofErr w:type="spellEnd"/>
    </w:p>
    <w:p w14:paraId="4BE6B9FB" w14:textId="77777777" w:rsidR="0094201C" w:rsidRPr="0094201C" w:rsidRDefault="0094201C" w:rsidP="0094201C">
      <w:pPr>
        <w:pStyle w:val="ListParagraph"/>
        <w:numPr>
          <w:ilvl w:val="0"/>
          <w:numId w:val="12"/>
        </w:numPr>
        <w:spacing w:after="0" w:line="240" w:lineRule="auto"/>
        <w:jc w:val="both"/>
        <w:rPr>
          <w:rFonts w:ascii="Calibri" w:hAnsi="Calibri" w:cs="Calibri"/>
          <w:i w:val="0"/>
          <w:sz w:val="22"/>
          <w:szCs w:val="22"/>
        </w:rPr>
      </w:pPr>
      <w:r w:rsidRPr="0094201C">
        <w:rPr>
          <w:rFonts w:ascii="Calibri" w:hAnsi="Calibri" w:cs="Calibri"/>
          <w:i w:val="0"/>
          <w:sz w:val="22"/>
          <w:szCs w:val="22"/>
        </w:rPr>
        <w:t xml:space="preserve">Relationships with external actors, including partnerships with gender focused </w:t>
      </w:r>
      <w:proofErr w:type="spellStart"/>
      <w:r w:rsidRPr="0094201C">
        <w:rPr>
          <w:rFonts w:ascii="Calibri" w:hAnsi="Calibri" w:cs="Calibri"/>
          <w:i w:val="0"/>
          <w:sz w:val="22"/>
          <w:szCs w:val="22"/>
        </w:rPr>
        <w:t>organisations</w:t>
      </w:r>
      <w:proofErr w:type="spellEnd"/>
    </w:p>
    <w:p w14:paraId="6D79A43A" w14:textId="523FE642" w:rsidR="0094201C" w:rsidRDefault="0094201C" w:rsidP="0094201C">
      <w:pPr>
        <w:pStyle w:val="ListParagraph"/>
        <w:numPr>
          <w:ilvl w:val="0"/>
          <w:numId w:val="12"/>
        </w:numPr>
        <w:spacing w:after="0" w:line="240" w:lineRule="auto"/>
        <w:jc w:val="both"/>
        <w:rPr>
          <w:rFonts w:ascii="Calibri" w:hAnsi="Calibri" w:cs="Calibri"/>
          <w:i w:val="0"/>
          <w:sz w:val="22"/>
          <w:szCs w:val="22"/>
        </w:rPr>
      </w:pPr>
      <w:r w:rsidRPr="0094201C">
        <w:rPr>
          <w:rFonts w:ascii="Calibri" w:hAnsi="Calibri" w:cs="Calibri"/>
          <w:i w:val="0"/>
          <w:sz w:val="22"/>
          <w:szCs w:val="22"/>
        </w:rPr>
        <w:t>Resourcing and capacity available for GE work in COs, including selection and role of GE focal points</w:t>
      </w:r>
    </w:p>
    <w:p w14:paraId="7871601E" w14:textId="79380AD0" w:rsidR="0094201C" w:rsidRDefault="0094201C" w:rsidP="0094201C">
      <w:pPr>
        <w:spacing w:after="0" w:line="240" w:lineRule="auto"/>
        <w:jc w:val="both"/>
        <w:rPr>
          <w:rFonts w:ascii="Calibri" w:hAnsi="Calibri" w:cs="Calibri"/>
        </w:rPr>
      </w:pPr>
    </w:p>
    <w:p w14:paraId="14814E58" w14:textId="4297932C" w:rsidR="0094201C" w:rsidRPr="00205F39" w:rsidRDefault="0094201C" w:rsidP="0094201C">
      <w:pPr>
        <w:jc w:val="both"/>
      </w:pPr>
      <w:r w:rsidRPr="00205F39">
        <w:t xml:space="preserve">In addition, the </w:t>
      </w:r>
      <w:r>
        <w:t>consultancy</w:t>
      </w:r>
      <w:r w:rsidRPr="00205F39">
        <w:t xml:space="preserve"> will also capture </w:t>
      </w:r>
      <w:r>
        <w:t xml:space="preserve">a snapshot of the </w:t>
      </w:r>
      <w:r w:rsidRPr="00205F39">
        <w:t xml:space="preserve">current status of work at the organizational level, such as gender gap analyses and action plans.   </w:t>
      </w:r>
    </w:p>
    <w:p w14:paraId="53D91C88" w14:textId="0565E09C" w:rsidR="0046564C" w:rsidRPr="00A835F9" w:rsidRDefault="0046564C" w:rsidP="00101DC1">
      <w:pPr>
        <w:spacing w:after="0" w:line="240" w:lineRule="auto"/>
        <w:jc w:val="both"/>
      </w:pPr>
    </w:p>
    <w:p w14:paraId="7ABBA379" w14:textId="4DE937C5" w:rsidR="00D7668E" w:rsidRPr="00D7668E" w:rsidRDefault="00D7668E" w:rsidP="00502B54">
      <w:pPr>
        <w:pStyle w:val="Heading1"/>
        <w:numPr>
          <w:ilvl w:val="0"/>
          <w:numId w:val="5"/>
        </w:numPr>
        <w:spacing w:after="0" w:line="240" w:lineRule="auto"/>
        <w:rPr>
          <w:b/>
          <w:sz w:val="28"/>
        </w:rPr>
      </w:pPr>
      <w:r>
        <w:rPr>
          <w:b/>
          <w:sz w:val="28"/>
        </w:rPr>
        <w:t>TASKs</w:t>
      </w:r>
    </w:p>
    <w:p w14:paraId="490C278F" w14:textId="77777777" w:rsidR="00511D35" w:rsidRPr="00205F39" w:rsidRDefault="00511D35" w:rsidP="00511D35">
      <w:pPr>
        <w:jc w:val="both"/>
      </w:pPr>
      <w:r w:rsidRPr="00205F39">
        <w:t>The Consultant will undertake the following tasks in close collaboration with the MEEE Regional Office staff and Country Office Focal Points:</w:t>
      </w:r>
    </w:p>
    <w:p w14:paraId="72568717" w14:textId="77777777" w:rsidR="00511D35" w:rsidRPr="00511D35" w:rsidRDefault="00511D35" w:rsidP="00511D35">
      <w:pPr>
        <w:pStyle w:val="ListParagraph"/>
        <w:numPr>
          <w:ilvl w:val="0"/>
          <w:numId w:val="6"/>
        </w:numPr>
        <w:spacing w:after="120" w:line="240" w:lineRule="auto"/>
        <w:ind w:left="357" w:hanging="357"/>
        <w:contextualSpacing w:val="0"/>
        <w:jc w:val="both"/>
        <w:rPr>
          <w:rFonts w:ascii="Calibri" w:hAnsi="Calibri" w:cs="Calibri"/>
          <w:i w:val="0"/>
          <w:sz w:val="22"/>
          <w:szCs w:val="22"/>
        </w:rPr>
      </w:pPr>
      <w:r w:rsidRPr="00511D35">
        <w:rPr>
          <w:rFonts w:ascii="Calibri" w:hAnsi="Calibri" w:cs="Calibri"/>
          <w:i w:val="0"/>
          <w:sz w:val="22"/>
          <w:szCs w:val="22"/>
        </w:rPr>
        <w:t xml:space="preserve">Develop a Consultancy </w:t>
      </w:r>
      <w:proofErr w:type="spellStart"/>
      <w:r w:rsidRPr="00511D35">
        <w:rPr>
          <w:rFonts w:ascii="Calibri" w:hAnsi="Calibri" w:cs="Calibri"/>
          <w:i w:val="0"/>
          <w:sz w:val="22"/>
          <w:szCs w:val="22"/>
        </w:rPr>
        <w:t>Workplan</w:t>
      </w:r>
      <w:proofErr w:type="spellEnd"/>
      <w:r w:rsidRPr="00511D35">
        <w:rPr>
          <w:rFonts w:ascii="Calibri" w:hAnsi="Calibri" w:cs="Calibri"/>
          <w:i w:val="0"/>
          <w:sz w:val="22"/>
          <w:szCs w:val="22"/>
        </w:rPr>
        <w:t>, outlining the consultancy methodology, steps and milestones</w:t>
      </w:r>
    </w:p>
    <w:p w14:paraId="7C897E01" w14:textId="77777777" w:rsidR="00511D35" w:rsidRPr="00511D35" w:rsidRDefault="00511D35" w:rsidP="00511D35">
      <w:pPr>
        <w:pStyle w:val="ListParagraph"/>
        <w:numPr>
          <w:ilvl w:val="0"/>
          <w:numId w:val="6"/>
        </w:numPr>
        <w:spacing w:after="120" w:line="240" w:lineRule="auto"/>
        <w:ind w:left="357" w:hanging="357"/>
        <w:contextualSpacing w:val="0"/>
        <w:jc w:val="both"/>
        <w:rPr>
          <w:rFonts w:ascii="Calibri" w:hAnsi="Calibri" w:cs="Calibri"/>
          <w:i w:val="0"/>
          <w:sz w:val="22"/>
          <w:szCs w:val="22"/>
        </w:rPr>
      </w:pPr>
      <w:r w:rsidRPr="00511D35">
        <w:rPr>
          <w:rFonts w:ascii="Calibri" w:hAnsi="Calibri" w:cs="Calibri"/>
          <w:i w:val="0"/>
          <w:sz w:val="22"/>
          <w:szCs w:val="22"/>
        </w:rPr>
        <w:t>Design a benchmark tool / matrix, to guide the scope of the analysis</w:t>
      </w:r>
    </w:p>
    <w:p w14:paraId="41B3E7EC" w14:textId="77777777" w:rsidR="00511D35" w:rsidRPr="00511D35" w:rsidRDefault="00511D35" w:rsidP="00511D35">
      <w:pPr>
        <w:pStyle w:val="ListParagraph"/>
        <w:numPr>
          <w:ilvl w:val="0"/>
          <w:numId w:val="6"/>
        </w:numPr>
        <w:spacing w:after="120" w:line="240" w:lineRule="auto"/>
        <w:ind w:left="357" w:hanging="357"/>
        <w:contextualSpacing w:val="0"/>
        <w:jc w:val="both"/>
        <w:rPr>
          <w:rFonts w:ascii="Calibri" w:hAnsi="Calibri" w:cs="Calibri"/>
          <w:i w:val="0"/>
          <w:sz w:val="22"/>
          <w:szCs w:val="22"/>
        </w:rPr>
      </w:pPr>
      <w:r w:rsidRPr="00511D35">
        <w:rPr>
          <w:rFonts w:ascii="Calibri" w:hAnsi="Calibri" w:cs="Calibri"/>
          <w:i w:val="0"/>
          <w:sz w:val="22"/>
          <w:szCs w:val="22"/>
        </w:rPr>
        <w:t>Conduct a desk review of key documents and materials relevant to the gender equality.  This will include but not be limited to SCI global materials; CO strategy documents; internal and external research studies, tools gender analyses, project proposals and evaluations; gender KPI data; and selected donor policies and priorities.</w:t>
      </w:r>
    </w:p>
    <w:p w14:paraId="2DD51071" w14:textId="77777777" w:rsidR="00511D35" w:rsidRPr="00511D35" w:rsidRDefault="00511D35" w:rsidP="00511D35">
      <w:pPr>
        <w:pStyle w:val="ListParagraph"/>
        <w:numPr>
          <w:ilvl w:val="0"/>
          <w:numId w:val="6"/>
        </w:numPr>
        <w:spacing w:after="120" w:line="240" w:lineRule="auto"/>
        <w:ind w:left="357" w:hanging="357"/>
        <w:contextualSpacing w:val="0"/>
        <w:jc w:val="both"/>
        <w:rPr>
          <w:rFonts w:ascii="Calibri" w:hAnsi="Calibri" w:cs="Calibri"/>
          <w:i w:val="0"/>
          <w:sz w:val="22"/>
          <w:szCs w:val="22"/>
        </w:rPr>
      </w:pPr>
      <w:r w:rsidRPr="00511D35">
        <w:rPr>
          <w:rFonts w:ascii="Calibri" w:hAnsi="Calibri" w:cs="Calibri"/>
          <w:i w:val="0"/>
          <w:sz w:val="22"/>
          <w:szCs w:val="22"/>
        </w:rPr>
        <w:t xml:space="preserve">Conduct consultations with key CO and regional office staff </w:t>
      </w:r>
    </w:p>
    <w:p w14:paraId="61E4925F" w14:textId="77777777" w:rsidR="00511D35" w:rsidRPr="00511D35" w:rsidRDefault="00511D35" w:rsidP="00511D35">
      <w:pPr>
        <w:pStyle w:val="ListParagraph"/>
        <w:numPr>
          <w:ilvl w:val="0"/>
          <w:numId w:val="6"/>
        </w:numPr>
        <w:spacing w:after="120" w:line="240" w:lineRule="auto"/>
        <w:ind w:left="357" w:hanging="357"/>
        <w:contextualSpacing w:val="0"/>
        <w:jc w:val="both"/>
        <w:rPr>
          <w:rFonts w:ascii="Calibri" w:hAnsi="Calibri" w:cs="Calibri"/>
          <w:i w:val="0"/>
          <w:sz w:val="22"/>
          <w:szCs w:val="22"/>
        </w:rPr>
      </w:pPr>
      <w:r w:rsidRPr="00511D35">
        <w:rPr>
          <w:rFonts w:ascii="Calibri" w:hAnsi="Calibri" w:cs="Calibri"/>
          <w:i w:val="0"/>
          <w:sz w:val="22"/>
          <w:szCs w:val="22"/>
        </w:rPr>
        <w:t>Conduct an analysis of the material and information gathered; identifying and documenting examples of good practice; key constraints; and common / sub-regional priorities for future focus</w:t>
      </w:r>
    </w:p>
    <w:p w14:paraId="18D01FC1" w14:textId="77777777" w:rsidR="00511D35" w:rsidRPr="00511D35" w:rsidRDefault="00511D35" w:rsidP="00511D35">
      <w:pPr>
        <w:pStyle w:val="ListParagraph"/>
        <w:numPr>
          <w:ilvl w:val="0"/>
          <w:numId w:val="6"/>
        </w:numPr>
        <w:spacing w:after="120" w:line="240" w:lineRule="auto"/>
        <w:ind w:left="357" w:hanging="357"/>
        <w:contextualSpacing w:val="0"/>
        <w:jc w:val="both"/>
        <w:rPr>
          <w:rFonts w:ascii="Calibri" w:hAnsi="Calibri" w:cs="Calibri"/>
          <w:i w:val="0"/>
          <w:sz w:val="22"/>
          <w:szCs w:val="22"/>
        </w:rPr>
      </w:pPr>
      <w:r w:rsidRPr="00511D35">
        <w:rPr>
          <w:rFonts w:ascii="Calibri" w:hAnsi="Calibri" w:cs="Calibri"/>
          <w:i w:val="0"/>
          <w:sz w:val="22"/>
          <w:szCs w:val="22"/>
        </w:rPr>
        <w:t>Present the findings and draft Roadmap with SCI CO and regional staff, seeking feedback and new ideas</w:t>
      </w:r>
    </w:p>
    <w:p w14:paraId="035EEF68" w14:textId="77777777" w:rsidR="00511D35" w:rsidRPr="00511D35" w:rsidRDefault="00511D35" w:rsidP="00511D35">
      <w:pPr>
        <w:pStyle w:val="ListParagraph"/>
        <w:numPr>
          <w:ilvl w:val="0"/>
          <w:numId w:val="6"/>
        </w:numPr>
        <w:spacing w:after="120" w:line="240" w:lineRule="auto"/>
        <w:ind w:left="357" w:hanging="357"/>
        <w:contextualSpacing w:val="0"/>
        <w:jc w:val="both"/>
        <w:rPr>
          <w:rFonts w:ascii="Calibri" w:hAnsi="Calibri" w:cs="Calibri"/>
          <w:i w:val="0"/>
          <w:sz w:val="22"/>
          <w:szCs w:val="22"/>
        </w:rPr>
      </w:pPr>
      <w:r w:rsidRPr="00511D35">
        <w:rPr>
          <w:rFonts w:ascii="Calibri" w:hAnsi="Calibri" w:cs="Calibri"/>
          <w:i w:val="0"/>
          <w:sz w:val="22"/>
          <w:szCs w:val="22"/>
        </w:rPr>
        <w:t>Write a draft report for review by SCI Staff</w:t>
      </w:r>
    </w:p>
    <w:p w14:paraId="6C131669" w14:textId="77777777" w:rsidR="00511D35" w:rsidRPr="00511D35" w:rsidRDefault="00511D35" w:rsidP="00511D35">
      <w:pPr>
        <w:pStyle w:val="ListParagraph"/>
        <w:numPr>
          <w:ilvl w:val="0"/>
          <w:numId w:val="6"/>
        </w:numPr>
        <w:spacing w:after="120" w:line="240" w:lineRule="auto"/>
        <w:ind w:left="357" w:hanging="357"/>
        <w:contextualSpacing w:val="0"/>
        <w:jc w:val="both"/>
        <w:rPr>
          <w:rFonts w:ascii="Calibri" w:hAnsi="Calibri" w:cs="Calibri"/>
          <w:i w:val="0"/>
          <w:sz w:val="22"/>
          <w:szCs w:val="22"/>
        </w:rPr>
      </w:pPr>
      <w:r w:rsidRPr="00511D35">
        <w:rPr>
          <w:rFonts w:ascii="Calibri" w:hAnsi="Calibri" w:cs="Calibri"/>
          <w:i w:val="0"/>
          <w:sz w:val="22"/>
          <w:szCs w:val="22"/>
        </w:rPr>
        <w:t>Write a final report</w:t>
      </w:r>
    </w:p>
    <w:p w14:paraId="0DED58BF" w14:textId="77777777" w:rsidR="00D7668E" w:rsidRPr="00D7668E" w:rsidRDefault="00D7668E" w:rsidP="00502B54">
      <w:pPr>
        <w:pStyle w:val="ListParagraph"/>
        <w:numPr>
          <w:ilvl w:val="0"/>
          <w:numId w:val="6"/>
        </w:numPr>
        <w:spacing w:after="0" w:line="240" w:lineRule="auto"/>
        <w:ind w:left="357" w:hanging="357"/>
        <w:contextualSpacing w:val="0"/>
        <w:jc w:val="both"/>
        <w:rPr>
          <w:rFonts w:ascii="Calibri" w:hAnsi="Calibri" w:cs="Calibri"/>
          <w:i w:val="0"/>
          <w:sz w:val="22"/>
          <w:szCs w:val="22"/>
        </w:rPr>
      </w:pPr>
      <w:r w:rsidRPr="00D7668E">
        <w:rPr>
          <w:rFonts w:ascii="Calibri" w:hAnsi="Calibri" w:cs="Calibri"/>
          <w:i w:val="0"/>
          <w:sz w:val="22"/>
          <w:szCs w:val="22"/>
        </w:rPr>
        <w:t>Write a final report</w:t>
      </w:r>
    </w:p>
    <w:p w14:paraId="77D5A9D2" w14:textId="4CA0A34D" w:rsidR="00CF42C1" w:rsidRDefault="00CF42C1" w:rsidP="00101DC1">
      <w:pPr>
        <w:spacing w:after="0" w:line="240" w:lineRule="auto"/>
        <w:jc w:val="both"/>
        <w:rPr>
          <w:rFonts w:cstheme="minorHAnsi"/>
        </w:rPr>
      </w:pPr>
    </w:p>
    <w:p w14:paraId="44FB79A0" w14:textId="00D4300E" w:rsidR="00D7668E" w:rsidRPr="00D7668E" w:rsidRDefault="00D7668E" w:rsidP="00502B54">
      <w:pPr>
        <w:pStyle w:val="Heading1"/>
        <w:numPr>
          <w:ilvl w:val="0"/>
          <w:numId w:val="5"/>
        </w:numPr>
        <w:spacing w:after="0" w:line="240" w:lineRule="auto"/>
        <w:rPr>
          <w:b/>
          <w:sz w:val="28"/>
        </w:rPr>
      </w:pPr>
      <w:r>
        <w:rPr>
          <w:b/>
          <w:sz w:val="28"/>
        </w:rPr>
        <w:t>deliverables</w:t>
      </w:r>
    </w:p>
    <w:p w14:paraId="4D2A2F6E" w14:textId="3FB50A31" w:rsidR="00B86C10" w:rsidRPr="00B86C10" w:rsidRDefault="00B86C10" w:rsidP="00B86C10">
      <w:pPr>
        <w:spacing w:line="240" w:lineRule="auto"/>
        <w:jc w:val="both"/>
        <w:rPr>
          <w:rFonts w:ascii="Calibri" w:hAnsi="Calibri" w:cs="Calibri"/>
        </w:rPr>
      </w:pPr>
      <w:r>
        <w:rPr>
          <w:rFonts w:ascii="Calibri" w:hAnsi="Calibri" w:cs="Calibri"/>
        </w:rPr>
        <w:t>Deliverables for this consultancy comprise:</w:t>
      </w:r>
    </w:p>
    <w:p w14:paraId="1F4B8A57" w14:textId="77777777" w:rsidR="00EA5FC2" w:rsidRPr="00EA5FC2" w:rsidRDefault="00EA5FC2" w:rsidP="00EA5FC2">
      <w:pPr>
        <w:pStyle w:val="ListParagraph"/>
        <w:numPr>
          <w:ilvl w:val="0"/>
          <w:numId w:val="7"/>
        </w:numPr>
        <w:spacing w:before="120" w:after="0" w:line="240" w:lineRule="auto"/>
        <w:contextualSpacing w:val="0"/>
        <w:jc w:val="both"/>
        <w:rPr>
          <w:i w:val="0"/>
          <w:sz w:val="22"/>
          <w:szCs w:val="22"/>
        </w:rPr>
      </w:pPr>
      <w:r w:rsidRPr="00EA5FC2">
        <w:rPr>
          <w:i w:val="0"/>
          <w:sz w:val="22"/>
          <w:szCs w:val="22"/>
        </w:rPr>
        <w:t xml:space="preserve">Consultancy </w:t>
      </w:r>
      <w:proofErr w:type="spellStart"/>
      <w:r w:rsidRPr="00EA5FC2">
        <w:rPr>
          <w:i w:val="0"/>
          <w:sz w:val="22"/>
          <w:szCs w:val="22"/>
        </w:rPr>
        <w:t>workplan</w:t>
      </w:r>
      <w:proofErr w:type="spellEnd"/>
      <w:r w:rsidRPr="00EA5FC2">
        <w:rPr>
          <w:i w:val="0"/>
          <w:sz w:val="22"/>
          <w:szCs w:val="22"/>
        </w:rPr>
        <w:t>, including methodology, steps and timeframes, and a benchmark tool for conducting the analysis, due 8 days after the commencement of the consultancy</w:t>
      </w:r>
    </w:p>
    <w:p w14:paraId="3006E7A0" w14:textId="77777777" w:rsidR="00EA5FC2" w:rsidRPr="00EA5FC2" w:rsidRDefault="00EA5FC2" w:rsidP="00EA5FC2">
      <w:pPr>
        <w:pStyle w:val="ListParagraph"/>
        <w:numPr>
          <w:ilvl w:val="0"/>
          <w:numId w:val="7"/>
        </w:numPr>
        <w:spacing w:before="120" w:after="0" w:line="240" w:lineRule="auto"/>
        <w:contextualSpacing w:val="0"/>
        <w:jc w:val="both"/>
        <w:rPr>
          <w:i w:val="0"/>
          <w:sz w:val="22"/>
          <w:szCs w:val="22"/>
        </w:rPr>
      </w:pPr>
      <w:r w:rsidRPr="00EA5FC2">
        <w:rPr>
          <w:i w:val="0"/>
          <w:sz w:val="22"/>
          <w:szCs w:val="22"/>
        </w:rPr>
        <w:t xml:space="preserve">Consultation plan, including questionnaires and survey, for conducting consultations with CO and RO </w:t>
      </w:r>
      <w:proofErr w:type="gramStart"/>
      <w:r w:rsidRPr="00EA5FC2">
        <w:rPr>
          <w:i w:val="0"/>
          <w:sz w:val="22"/>
          <w:szCs w:val="22"/>
        </w:rPr>
        <w:t>staff  -</w:t>
      </w:r>
      <w:proofErr w:type="gramEnd"/>
      <w:r w:rsidRPr="00EA5FC2">
        <w:rPr>
          <w:i w:val="0"/>
          <w:sz w:val="22"/>
          <w:szCs w:val="22"/>
        </w:rPr>
        <w:t xml:space="preserve"> 2 days</w:t>
      </w:r>
    </w:p>
    <w:p w14:paraId="13F0AB90" w14:textId="77777777" w:rsidR="00EA5FC2" w:rsidRPr="00EA5FC2" w:rsidRDefault="00EA5FC2" w:rsidP="00EA5FC2">
      <w:pPr>
        <w:pStyle w:val="ListParagraph"/>
        <w:numPr>
          <w:ilvl w:val="0"/>
          <w:numId w:val="7"/>
        </w:numPr>
        <w:spacing w:before="120" w:after="0" w:line="240" w:lineRule="auto"/>
        <w:contextualSpacing w:val="0"/>
        <w:jc w:val="both"/>
        <w:rPr>
          <w:i w:val="0"/>
          <w:sz w:val="22"/>
          <w:szCs w:val="22"/>
        </w:rPr>
      </w:pPr>
      <w:r w:rsidRPr="00EA5FC2">
        <w:rPr>
          <w:i w:val="0"/>
          <w:sz w:val="22"/>
          <w:szCs w:val="22"/>
        </w:rPr>
        <w:t>Desk review and consultations (minimum of 25 interviews to be conducted across 12 countries) – 18 days</w:t>
      </w:r>
    </w:p>
    <w:p w14:paraId="12F25CE7" w14:textId="77777777" w:rsidR="00EA5FC2" w:rsidRPr="00EA5FC2" w:rsidRDefault="00EA5FC2" w:rsidP="00EA5FC2">
      <w:pPr>
        <w:pStyle w:val="ListParagraph"/>
        <w:numPr>
          <w:ilvl w:val="0"/>
          <w:numId w:val="7"/>
        </w:numPr>
        <w:spacing w:before="120" w:after="0" w:line="240" w:lineRule="auto"/>
        <w:contextualSpacing w:val="0"/>
        <w:jc w:val="both"/>
        <w:rPr>
          <w:i w:val="0"/>
          <w:sz w:val="22"/>
          <w:szCs w:val="22"/>
        </w:rPr>
      </w:pPr>
      <w:r w:rsidRPr="00EA5FC2">
        <w:rPr>
          <w:i w:val="0"/>
          <w:sz w:val="22"/>
          <w:szCs w:val="22"/>
        </w:rPr>
        <w:t>Draft report and roadmap and submit to the Consultancy Review Group – 10 days</w:t>
      </w:r>
    </w:p>
    <w:p w14:paraId="76E2B61F" w14:textId="77777777" w:rsidR="00EA5FC2" w:rsidRPr="00EA5FC2" w:rsidRDefault="00EA5FC2" w:rsidP="00EA5FC2">
      <w:pPr>
        <w:pStyle w:val="ListParagraph"/>
        <w:numPr>
          <w:ilvl w:val="0"/>
          <w:numId w:val="7"/>
        </w:numPr>
        <w:spacing w:before="120" w:after="0" w:line="240" w:lineRule="auto"/>
        <w:contextualSpacing w:val="0"/>
        <w:jc w:val="both"/>
        <w:rPr>
          <w:i w:val="0"/>
          <w:sz w:val="22"/>
          <w:szCs w:val="22"/>
        </w:rPr>
      </w:pPr>
      <w:r w:rsidRPr="00EA5FC2">
        <w:rPr>
          <w:i w:val="0"/>
          <w:sz w:val="22"/>
          <w:szCs w:val="22"/>
        </w:rPr>
        <w:t>Receive and consolidate feedback – 3 days</w:t>
      </w:r>
    </w:p>
    <w:p w14:paraId="7271C9E8" w14:textId="77777777" w:rsidR="00EA5FC2" w:rsidRPr="00EA5FC2" w:rsidRDefault="00EA5FC2" w:rsidP="00EA5FC2">
      <w:pPr>
        <w:pStyle w:val="ListParagraph"/>
        <w:numPr>
          <w:ilvl w:val="0"/>
          <w:numId w:val="7"/>
        </w:numPr>
        <w:spacing w:before="120" w:after="0" w:line="240" w:lineRule="auto"/>
        <w:contextualSpacing w:val="0"/>
        <w:jc w:val="both"/>
        <w:rPr>
          <w:i w:val="0"/>
          <w:sz w:val="22"/>
          <w:szCs w:val="22"/>
        </w:rPr>
      </w:pPr>
      <w:r w:rsidRPr="00EA5FC2">
        <w:rPr>
          <w:i w:val="0"/>
          <w:sz w:val="22"/>
          <w:szCs w:val="22"/>
        </w:rPr>
        <w:lastRenderedPageBreak/>
        <w:t>Prepare for and conduct a briefing / workshop with SCI staff to present findings and a draft Roadmap of priorities for the region; to seek feedback, new ideas and to refine the roadmap – 4days</w:t>
      </w:r>
    </w:p>
    <w:p w14:paraId="125BB2DC" w14:textId="77777777" w:rsidR="00EA5FC2" w:rsidRPr="00EA5FC2" w:rsidRDefault="00EA5FC2" w:rsidP="00EA5FC2">
      <w:pPr>
        <w:pStyle w:val="ListParagraph"/>
        <w:numPr>
          <w:ilvl w:val="0"/>
          <w:numId w:val="7"/>
        </w:numPr>
        <w:spacing w:before="120" w:after="0" w:line="240" w:lineRule="auto"/>
        <w:contextualSpacing w:val="0"/>
        <w:jc w:val="both"/>
        <w:rPr>
          <w:i w:val="0"/>
          <w:sz w:val="22"/>
          <w:szCs w:val="22"/>
        </w:rPr>
      </w:pPr>
      <w:r w:rsidRPr="00EA5FC2">
        <w:rPr>
          <w:i w:val="0"/>
          <w:sz w:val="22"/>
          <w:szCs w:val="22"/>
        </w:rPr>
        <w:t>Final report and Roadmap, incorporating any final feedback – 4 days</w:t>
      </w:r>
    </w:p>
    <w:p w14:paraId="0AC23027" w14:textId="77777777" w:rsidR="00D7668E" w:rsidRDefault="00D7668E" w:rsidP="00101DC1">
      <w:pPr>
        <w:spacing w:after="0" w:line="240" w:lineRule="auto"/>
        <w:jc w:val="both"/>
        <w:rPr>
          <w:b/>
        </w:rPr>
      </w:pPr>
    </w:p>
    <w:p w14:paraId="62DA8754" w14:textId="683D17AD" w:rsidR="00D7668E" w:rsidRPr="00D7668E" w:rsidRDefault="00D7668E" w:rsidP="00101DC1">
      <w:pPr>
        <w:spacing w:after="0" w:line="240" w:lineRule="auto"/>
        <w:jc w:val="both"/>
        <w:rPr>
          <w:rFonts w:ascii="Calibri" w:hAnsi="Calibri" w:cs="Calibri"/>
          <w:b/>
        </w:rPr>
      </w:pPr>
      <w:r w:rsidRPr="00D7668E">
        <w:rPr>
          <w:rFonts w:ascii="Calibri" w:hAnsi="Calibri" w:cs="Calibri"/>
          <w:b/>
        </w:rPr>
        <w:t>Format and style</w:t>
      </w:r>
    </w:p>
    <w:p w14:paraId="51794459" w14:textId="77777777" w:rsidR="00E4384F" w:rsidRPr="00205F39" w:rsidRDefault="00E4384F" w:rsidP="00E4384F">
      <w:pPr>
        <w:jc w:val="both"/>
        <w:rPr>
          <w:rFonts w:cstheme="minorHAnsi"/>
        </w:rPr>
      </w:pPr>
      <w:r w:rsidRPr="00205F39">
        <w:rPr>
          <w:rFonts w:cstheme="minorHAnsi"/>
        </w:rPr>
        <w:t xml:space="preserve">The final report </w:t>
      </w:r>
      <w:r>
        <w:rPr>
          <w:rFonts w:cstheme="minorHAnsi"/>
        </w:rPr>
        <w:t xml:space="preserve">(including the roadmap) </w:t>
      </w:r>
      <w:r w:rsidRPr="00205F39">
        <w:rPr>
          <w:rFonts w:cstheme="minorHAnsi"/>
        </w:rPr>
        <w:t>will be written in plain English so as to facilitate understanding, as well as its translation into other languages and dissemination to key stakeholders. The report will be no more than 30 pages, plus appendices</w:t>
      </w:r>
      <w:r>
        <w:rPr>
          <w:rFonts w:cstheme="minorHAnsi"/>
        </w:rPr>
        <w:t>, and should include visuals, tables, text boxes and other layout options that will enhance user friendliness and understanding</w:t>
      </w:r>
      <w:r w:rsidRPr="00205F39">
        <w:rPr>
          <w:rFonts w:cstheme="minorHAnsi"/>
        </w:rPr>
        <w:t xml:space="preserve">. Appendices should be limited to those which are essential for explaining the text. </w:t>
      </w:r>
    </w:p>
    <w:p w14:paraId="13A26C54" w14:textId="77777777" w:rsidR="00E4384F" w:rsidRPr="00205F39" w:rsidRDefault="00E4384F" w:rsidP="005A0A38">
      <w:pPr>
        <w:spacing w:after="0"/>
        <w:jc w:val="both"/>
        <w:rPr>
          <w:rFonts w:cstheme="minorHAnsi"/>
          <w:u w:val="single"/>
        </w:rPr>
      </w:pPr>
      <w:r w:rsidRPr="00205F39">
        <w:rPr>
          <w:rFonts w:cstheme="minorHAnsi"/>
          <w:u w:val="single"/>
        </w:rPr>
        <w:t>Draft Template</w:t>
      </w:r>
    </w:p>
    <w:p w14:paraId="59229CC5" w14:textId="77777777" w:rsidR="00E4384F" w:rsidRPr="00205F39" w:rsidRDefault="00E4384F" w:rsidP="005A0A38">
      <w:pPr>
        <w:tabs>
          <w:tab w:val="left" w:pos="1125"/>
        </w:tabs>
        <w:spacing w:after="0"/>
        <w:jc w:val="both"/>
        <w:rPr>
          <w:rFonts w:cstheme="minorHAnsi"/>
        </w:rPr>
      </w:pPr>
      <w:r w:rsidRPr="00205F39">
        <w:rPr>
          <w:rFonts w:cstheme="minorHAnsi"/>
        </w:rPr>
        <w:t>Front cover</w:t>
      </w:r>
    </w:p>
    <w:p w14:paraId="1FE50BA2" w14:textId="77777777" w:rsidR="00E4384F" w:rsidRPr="00205F39" w:rsidRDefault="00E4384F" w:rsidP="005A0A38">
      <w:pPr>
        <w:tabs>
          <w:tab w:val="left" w:pos="1125"/>
        </w:tabs>
        <w:spacing w:after="0"/>
        <w:jc w:val="both"/>
        <w:rPr>
          <w:rFonts w:cstheme="minorHAnsi"/>
        </w:rPr>
      </w:pPr>
      <w:r w:rsidRPr="00205F39">
        <w:rPr>
          <w:rFonts w:cstheme="minorHAnsi"/>
        </w:rPr>
        <w:t>Table of contents</w:t>
      </w:r>
    </w:p>
    <w:p w14:paraId="30FC0611" w14:textId="77777777" w:rsidR="00E4384F" w:rsidRPr="00205F39" w:rsidRDefault="00E4384F" w:rsidP="005A0A38">
      <w:pPr>
        <w:tabs>
          <w:tab w:val="left" w:pos="1125"/>
        </w:tabs>
        <w:spacing w:after="0"/>
        <w:jc w:val="both"/>
        <w:rPr>
          <w:rFonts w:cstheme="minorHAnsi"/>
        </w:rPr>
      </w:pPr>
      <w:r w:rsidRPr="00205F39">
        <w:rPr>
          <w:rFonts w:cstheme="minorHAnsi"/>
        </w:rPr>
        <w:t>Acronyms</w:t>
      </w:r>
    </w:p>
    <w:p w14:paraId="4F818734" w14:textId="77777777" w:rsidR="00E4384F" w:rsidRPr="00205F39" w:rsidRDefault="00E4384F" w:rsidP="00E4384F">
      <w:pPr>
        <w:numPr>
          <w:ilvl w:val="0"/>
          <w:numId w:val="8"/>
        </w:numPr>
        <w:tabs>
          <w:tab w:val="clear" w:pos="1095"/>
          <w:tab w:val="left" w:pos="360"/>
        </w:tabs>
        <w:overflowPunct w:val="0"/>
        <w:autoSpaceDE w:val="0"/>
        <w:autoSpaceDN w:val="0"/>
        <w:adjustRightInd w:val="0"/>
        <w:spacing w:after="0" w:line="240" w:lineRule="auto"/>
        <w:ind w:left="0" w:firstLine="0"/>
        <w:jc w:val="both"/>
        <w:textAlignment w:val="baseline"/>
        <w:rPr>
          <w:rFonts w:cstheme="minorHAnsi"/>
        </w:rPr>
      </w:pPr>
      <w:r w:rsidRPr="00205F39">
        <w:rPr>
          <w:rFonts w:cstheme="minorHAnsi"/>
        </w:rPr>
        <w:t>Executive Summary</w:t>
      </w:r>
    </w:p>
    <w:p w14:paraId="372CA53E" w14:textId="77777777" w:rsidR="00E4384F" w:rsidRPr="00205F39" w:rsidRDefault="00E4384F" w:rsidP="00E4384F">
      <w:pPr>
        <w:numPr>
          <w:ilvl w:val="0"/>
          <w:numId w:val="8"/>
        </w:numPr>
        <w:tabs>
          <w:tab w:val="clear" w:pos="1095"/>
          <w:tab w:val="left" w:pos="360"/>
        </w:tabs>
        <w:overflowPunct w:val="0"/>
        <w:autoSpaceDE w:val="0"/>
        <w:autoSpaceDN w:val="0"/>
        <w:adjustRightInd w:val="0"/>
        <w:spacing w:after="0" w:line="240" w:lineRule="auto"/>
        <w:ind w:left="0" w:firstLine="0"/>
        <w:jc w:val="both"/>
        <w:textAlignment w:val="baseline"/>
        <w:rPr>
          <w:rFonts w:cstheme="minorHAnsi"/>
        </w:rPr>
      </w:pPr>
      <w:r w:rsidRPr="00205F39">
        <w:rPr>
          <w:rFonts w:cstheme="minorHAnsi"/>
        </w:rPr>
        <w:t>Analysis and Findings</w:t>
      </w:r>
    </w:p>
    <w:p w14:paraId="46CBFCB6" w14:textId="77777777" w:rsidR="00E4384F" w:rsidRPr="00205F39" w:rsidRDefault="00E4384F" w:rsidP="00E4384F">
      <w:pPr>
        <w:numPr>
          <w:ilvl w:val="0"/>
          <w:numId w:val="8"/>
        </w:numPr>
        <w:tabs>
          <w:tab w:val="clear" w:pos="1095"/>
          <w:tab w:val="left" w:pos="360"/>
        </w:tabs>
        <w:overflowPunct w:val="0"/>
        <w:autoSpaceDE w:val="0"/>
        <w:autoSpaceDN w:val="0"/>
        <w:adjustRightInd w:val="0"/>
        <w:spacing w:after="0" w:line="240" w:lineRule="auto"/>
        <w:ind w:left="0" w:firstLine="0"/>
        <w:jc w:val="both"/>
        <w:textAlignment w:val="baseline"/>
        <w:rPr>
          <w:rFonts w:cstheme="minorHAnsi"/>
        </w:rPr>
      </w:pPr>
      <w:r w:rsidRPr="00205F39">
        <w:rPr>
          <w:rFonts w:cstheme="minorHAnsi"/>
        </w:rPr>
        <w:t>Examples of good practice</w:t>
      </w:r>
    </w:p>
    <w:p w14:paraId="1AAAAD02" w14:textId="77777777" w:rsidR="00E4384F" w:rsidRPr="00205F39" w:rsidRDefault="00E4384F" w:rsidP="00E4384F">
      <w:pPr>
        <w:numPr>
          <w:ilvl w:val="0"/>
          <w:numId w:val="8"/>
        </w:numPr>
        <w:tabs>
          <w:tab w:val="clear" w:pos="1095"/>
          <w:tab w:val="left" w:pos="360"/>
        </w:tabs>
        <w:overflowPunct w:val="0"/>
        <w:autoSpaceDE w:val="0"/>
        <w:autoSpaceDN w:val="0"/>
        <w:adjustRightInd w:val="0"/>
        <w:spacing w:after="0" w:line="240" w:lineRule="auto"/>
        <w:ind w:left="0" w:firstLine="0"/>
        <w:jc w:val="both"/>
        <w:textAlignment w:val="baseline"/>
        <w:rPr>
          <w:rFonts w:cstheme="minorHAnsi"/>
        </w:rPr>
      </w:pPr>
      <w:r w:rsidRPr="00205F39">
        <w:rPr>
          <w:rFonts w:cstheme="minorHAnsi"/>
        </w:rPr>
        <w:t xml:space="preserve">Proposed GE </w:t>
      </w:r>
      <w:r>
        <w:rPr>
          <w:rFonts w:cstheme="minorHAnsi"/>
        </w:rPr>
        <w:t>Roadmap</w:t>
      </w:r>
      <w:r w:rsidRPr="00205F39">
        <w:rPr>
          <w:rFonts w:cstheme="minorHAnsi"/>
        </w:rPr>
        <w:t xml:space="preserve"> for SCI in the MEEE region, articulating clear priorities.</w:t>
      </w:r>
    </w:p>
    <w:p w14:paraId="20BBE5DE" w14:textId="77777777" w:rsidR="00E4384F" w:rsidRPr="00205F39" w:rsidRDefault="00E4384F" w:rsidP="00E4384F">
      <w:pPr>
        <w:tabs>
          <w:tab w:val="left" w:pos="1125"/>
        </w:tabs>
        <w:jc w:val="both"/>
        <w:rPr>
          <w:rFonts w:cstheme="minorHAnsi"/>
        </w:rPr>
      </w:pPr>
      <w:r w:rsidRPr="00205F39">
        <w:rPr>
          <w:rFonts w:cstheme="minorHAnsi"/>
        </w:rPr>
        <w:t>Bibliography</w:t>
      </w:r>
    </w:p>
    <w:p w14:paraId="636E3BB4" w14:textId="77777777" w:rsidR="00E4384F" w:rsidRPr="00205F39" w:rsidRDefault="00E4384F" w:rsidP="00E4384F">
      <w:pPr>
        <w:rPr>
          <w:rFonts w:cstheme="minorHAnsi"/>
        </w:rPr>
      </w:pPr>
      <w:r w:rsidRPr="00205F39">
        <w:rPr>
          <w:rFonts w:cstheme="minorHAnsi"/>
        </w:rPr>
        <w:t>Appendices</w:t>
      </w:r>
    </w:p>
    <w:p w14:paraId="3CEC7AF1" w14:textId="77777777" w:rsidR="00101DC1" w:rsidRPr="00D7668E" w:rsidRDefault="00101DC1" w:rsidP="00101DC1">
      <w:pPr>
        <w:spacing w:after="0" w:line="240" w:lineRule="auto"/>
        <w:rPr>
          <w:rFonts w:ascii="Calibri" w:hAnsi="Calibri" w:cs="Calibri"/>
        </w:rPr>
      </w:pPr>
    </w:p>
    <w:p w14:paraId="5838A706" w14:textId="7A475265" w:rsidR="00D7668E" w:rsidRPr="00D7668E" w:rsidRDefault="00D7668E" w:rsidP="00502B54">
      <w:pPr>
        <w:pStyle w:val="Heading1"/>
        <w:numPr>
          <w:ilvl w:val="0"/>
          <w:numId w:val="5"/>
        </w:numPr>
        <w:spacing w:after="0" w:line="240" w:lineRule="auto"/>
        <w:rPr>
          <w:b/>
          <w:sz w:val="28"/>
        </w:rPr>
      </w:pPr>
      <w:r>
        <w:rPr>
          <w:b/>
          <w:sz w:val="28"/>
        </w:rPr>
        <w:t>methodology</w:t>
      </w:r>
    </w:p>
    <w:p w14:paraId="56733D7E" w14:textId="01827504" w:rsidR="005A0A38" w:rsidRPr="005A0A38" w:rsidRDefault="005A0A38" w:rsidP="005A0A38">
      <w:pPr>
        <w:jc w:val="both"/>
        <w:rPr>
          <w:rFonts w:ascii="Calibri" w:hAnsi="Calibri" w:cs="Calibri"/>
        </w:rPr>
      </w:pPr>
      <w:r w:rsidRPr="005A0A38">
        <w:rPr>
          <w:rFonts w:ascii="Calibri" w:hAnsi="Calibri" w:cs="Calibri"/>
        </w:rPr>
        <w:t xml:space="preserve">The consultancy analysis methodology will be robust.  The methodology for consultations with SCI staff must be participatory, and may combine survey methods, individual discussions and group discussions. </w:t>
      </w:r>
    </w:p>
    <w:p w14:paraId="1E0AEE0E" w14:textId="77777777" w:rsidR="005A0A38" w:rsidRPr="005A0A38" w:rsidRDefault="005A0A38" w:rsidP="005A0A38">
      <w:pPr>
        <w:jc w:val="both"/>
        <w:rPr>
          <w:rFonts w:ascii="Calibri" w:hAnsi="Calibri" w:cs="Calibri"/>
        </w:rPr>
      </w:pPr>
      <w:r w:rsidRPr="005A0A38">
        <w:rPr>
          <w:rFonts w:ascii="Calibri" w:hAnsi="Calibri" w:cs="Calibri"/>
        </w:rPr>
        <w:t xml:space="preserve">The consultancy will be conducted from the consultant’s home base.  The consultant must be available during working hours in MEEE </w:t>
      </w:r>
      <w:proofErr w:type="spellStart"/>
      <w:r w:rsidRPr="005A0A38">
        <w:rPr>
          <w:rFonts w:ascii="Calibri" w:hAnsi="Calibri" w:cs="Calibri"/>
        </w:rPr>
        <w:t>COs.</w:t>
      </w:r>
      <w:proofErr w:type="spellEnd"/>
    </w:p>
    <w:p w14:paraId="40139B9B" w14:textId="698E0FCE" w:rsidR="000274C7" w:rsidRDefault="000274C7" w:rsidP="00101DC1">
      <w:pPr>
        <w:spacing w:after="0" w:line="240" w:lineRule="auto"/>
        <w:rPr>
          <w:rFonts w:cstheme="minorHAnsi"/>
        </w:rPr>
      </w:pPr>
    </w:p>
    <w:p w14:paraId="094C7D3F" w14:textId="5ECA89C4" w:rsidR="00D7668E" w:rsidRPr="00D7668E" w:rsidRDefault="00D7668E" w:rsidP="00502B54">
      <w:pPr>
        <w:pStyle w:val="Heading1"/>
        <w:numPr>
          <w:ilvl w:val="0"/>
          <w:numId w:val="5"/>
        </w:numPr>
        <w:spacing w:after="0" w:line="240" w:lineRule="auto"/>
        <w:rPr>
          <w:b/>
          <w:sz w:val="28"/>
        </w:rPr>
      </w:pPr>
      <w:r>
        <w:rPr>
          <w:b/>
          <w:sz w:val="28"/>
        </w:rPr>
        <w:t>duration</w:t>
      </w:r>
    </w:p>
    <w:p w14:paraId="056D9840" w14:textId="262D393B" w:rsidR="005A0A38" w:rsidRPr="005A0A38" w:rsidRDefault="005A0A38" w:rsidP="005A0A38">
      <w:pPr>
        <w:jc w:val="both"/>
        <w:rPr>
          <w:rFonts w:ascii="Calibri" w:hAnsi="Calibri" w:cs="Calibri"/>
        </w:rPr>
      </w:pPr>
      <w:r w:rsidRPr="005A0A38">
        <w:rPr>
          <w:rFonts w:ascii="Calibri" w:hAnsi="Calibri" w:cs="Calibri"/>
        </w:rPr>
        <w:t xml:space="preserve">The duration of this consultancy is 50 days.  All deliverables must be completed by </w:t>
      </w:r>
      <w:r w:rsidRPr="00FD696D">
        <w:rPr>
          <w:rFonts w:ascii="Calibri" w:hAnsi="Calibri" w:cs="Calibri"/>
        </w:rPr>
        <w:t>30-</w:t>
      </w:r>
      <w:r w:rsidR="00DA52D8" w:rsidRPr="00FD696D">
        <w:rPr>
          <w:rFonts w:ascii="Calibri" w:hAnsi="Calibri" w:cs="Calibri"/>
        </w:rPr>
        <w:t>Nov-</w:t>
      </w:r>
      <w:r w:rsidRPr="00FD696D">
        <w:rPr>
          <w:rFonts w:ascii="Calibri" w:hAnsi="Calibri" w:cs="Calibri"/>
        </w:rPr>
        <w:t>2021.</w:t>
      </w:r>
    </w:p>
    <w:p w14:paraId="0A014A2D" w14:textId="12F96BAB" w:rsidR="000274C7" w:rsidRDefault="000274C7" w:rsidP="00101DC1">
      <w:pPr>
        <w:spacing w:after="0" w:line="240" w:lineRule="auto"/>
        <w:rPr>
          <w:rFonts w:cstheme="minorHAnsi"/>
        </w:rPr>
      </w:pPr>
    </w:p>
    <w:p w14:paraId="51208488" w14:textId="01F8011D" w:rsidR="008C6CF9" w:rsidRPr="00D7668E" w:rsidRDefault="008C6CF9" w:rsidP="00502B54">
      <w:pPr>
        <w:pStyle w:val="Heading1"/>
        <w:numPr>
          <w:ilvl w:val="0"/>
          <w:numId w:val="5"/>
        </w:numPr>
        <w:spacing w:after="0" w:line="240" w:lineRule="auto"/>
        <w:rPr>
          <w:b/>
          <w:sz w:val="28"/>
        </w:rPr>
      </w:pPr>
      <w:r>
        <w:rPr>
          <w:b/>
          <w:sz w:val="28"/>
        </w:rPr>
        <w:t>reporting</w:t>
      </w:r>
    </w:p>
    <w:p w14:paraId="38B581CF" w14:textId="77777777" w:rsidR="005A0A38" w:rsidRPr="005A0A38" w:rsidRDefault="005A0A38" w:rsidP="005A0A38">
      <w:pPr>
        <w:jc w:val="both"/>
        <w:rPr>
          <w:rFonts w:ascii="Calibri" w:hAnsi="Calibri" w:cs="Calibri"/>
        </w:rPr>
      </w:pPr>
      <w:r w:rsidRPr="005A0A38">
        <w:rPr>
          <w:rFonts w:ascii="Calibri" w:hAnsi="Calibri" w:cs="Calibri"/>
        </w:rPr>
        <w:t xml:space="preserve">The consultant will report to the Regional Director, Program Development and Quality, MEEE Regional Office; and work closely with Focal Points for each Country Office.  </w:t>
      </w:r>
    </w:p>
    <w:p w14:paraId="68FF1BD7" w14:textId="77777777" w:rsidR="008C6CF9" w:rsidRPr="008C6CF9" w:rsidRDefault="008C6CF9" w:rsidP="00101DC1">
      <w:pPr>
        <w:spacing w:after="0" w:line="240" w:lineRule="auto"/>
        <w:jc w:val="both"/>
        <w:rPr>
          <w:rFonts w:ascii="Calibri" w:hAnsi="Calibri" w:cs="Calibri"/>
        </w:rPr>
      </w:pPr>
    </w:p>
    <w:p w14:paraId="4C216FA6" w14:textId="1BA2C693" w:rsidR="008C6CF9" w:rsidRPr="00D7668E" w:rsidRDefault="008C6CF9" w:rsidP="00502B54">
      <w:pPr>
        <w:pStyle w:val="Heading1"/>
        <w:numPr>
          <w:ilvl w:val="0"/>
          <w:numId w:val="5"/>
        </w:numPr>
        <w:spacing w:after="0" w:line="240" w:lineRule="auto"/>
        <w:rPr>
          <w:b/>
          <w:sz w:val="28"/>
        </w:rPr>
      </w:pPr>
      <w:r>
        <w:rPr>
          <w:b/>
          <w:sz w:val="28"/>
        </w:rPr>
        <w:t>terms of payment</w:t>
      </w:r>
    </w:p>
    <w:p w14:paraId="033DC7D5" w14:textId="77777777" w:rsidR="005A0A38" w:rsidRPr="00205F39" w:rsidRDefault="005A0A38" w:rsidP="005A0A38">
      <w:pPr>
        <w:suppressAutoHyphens/>
        <w:spacing w:before="120" w:after="40"/>
        <w:ind w:right="432"/>
        <w:jc w:val="both"/>
        <w:rPr>
          <w:rFonts w:cstheme="minorHAnsi"/>
        </w:rPr>
      </w:pPr>
      <w:r w:rsidRPr="00205F39">
        <w:rPr>
          <w:rFonts w:cstheme="minorHAnsi"/>
          <w:spacing w:val="-3"/>
        </w:rPr>
        <w:t>The Consultant shall receive the following payment upon</w:t>
      </w:r>
      <w:r w:rsidRPr="00205F39">
        <w:rPr>
          <w:rFonts w:cstheme="minorHAnsi"/>
        </w:rPr>
        <w:t xml:space="preserve"> completion of the outputs as specified in the ‘Deliverables’ section above and as listed below:</w:t>
      </w:r>
    </w:p>
    <w:p w14:paraId="7427D71F" w14:textId="77777777" w:rsidR="005A0A38" w:rsidRPr="005A0A38" w:rsidRDefault="005A0A38" w:rsidP="005A0A38">
      <w:pPr>
        <w:pStyle w:val="ListParagraph"/>
        <w:numPr>
          <w:ilvl w:val="0"/>
          <w:numId w:val="9"/>
        </w:numPr>
        <w:suppressAutoHyphens/>
        <w:spacing w:before="120" w:after="40" w:line="240" w:lineRule="auto"/>
        <w:ind w:right="432"/>
        <w:jc w:val="both"/>
        <w:rPr>
          <w:rFonts w:cstheme="minorHAnsi"/>
          <w:i w:val="0"/>
          <w:sz w:val="22"/>
          <w:szCs w:val="22"/>
        </w:rPr>
      </w:pPr>
      <w:r w:rsidRPr="005A0A38">
        <w:rPr>
          <w:rFonts w:cstheme="minorHAnsi"/>
          <w:i w:val="0"/>
          <w:sz w:val="22"/>
          <w:szCs w:val="22"/>
        </w:rPr>
        <w:t>25% of the consultancy fee paid on delivery of outputs 1, 2 and 3, above, agreed with SCI</w:t>
      </w:r>
    </w:p>
    <w:p w14:paraId="3774A891" w14:textId="77777777" w:rsidR="005A0A38" w:rsidRPr="005A0A38" w:rsidRDefault="005A0A38" w:rsidP="005A0A38">
      <w:pPr>
        <w:pStyle w:val="ListParagraph"/>
        <w:numPr>
          <w:ilvl w:val="0"/>
          <w:numId w:val="9"/>
        </w:numPr>
        <w:suppressAutoHyphens/>
        <w:spacing w:before="120" w:after="40" w:line="240" w:lineRule="auto"/>
        <w:ind w:right="432"/>
        <w:jc w:val="both"/>
        <w:rPr>
          <w:rFonts w:cstheme="minorHAnsi"/>
          <w:i w:val="0"/>
          <w:sz w:val="22"/>
          <w:szCs w:val="22"/>
        </w:rPr>
      </w:pPr>
      <w:r w:rsidRPr="005A0A38">
        <w:rPr>
          <w:rFonts w:cstheme="minorHAnsi"/>
          <w:i w:val="0"/>
          <w:sz w:val="22"/>
          <w:szCs w:val="22"/>
        </w:rPr>
        <w:t xml:space="preserve">25% of the consultancy fee paid on delivery of output 4, presenting draft findings of consultations and analysis </w:t>
      </w:r>
    </w:p>
    <w:p w14:paraId="1173873D" w14:textId="77777777" w:rsidR="005A0A38" w:rsidRPr="005A0A38" w:rsidRDefault="005A0A38" w:rsidP="005A0A38">
      <w:pPr>
        <w:pStyle w:val="ListParagraph"/>
        <w:numPr>
          <w:ilvl w:val="0"/>
          <w:numId w:val="9"/>
        </w:numPr>
        <w:suppressAutoHyphens/>
        <w:spacing w:before="120" w:after="40" w:line="240" w:lineRule="auto"/>
        <w:ind w:right="432"/>
        <w:jc w:val="both"/>
        <w:rPr>
          <w:rFonts w:cstheme="minorHAnsi"/>
          <w:i w:val="0"/>
          <w:sz w:val="22"/>
          <w:szCs w:val="22"/>
        </w:rPr>
      </w:pPr>
      <w:r w:rsidRPr="005A0A38">
        <w:rPr>
          <w:rFonts w:cstheme="minorHAnsi"/>
          <w:i w:val="0"/>
          <w:sz w:val="22"/>
          <w:szCs w:val="22"/>
        </w:rPr>
        <w:t>50% of the consultancy fee paid on completion of outputs 5, 6 and 7 and the final report accepted by SCI</w:t>
      </w:r>
    </w:p>
    <w:p w14:paraId="05A435BF" w14:textId="51FCCD7B" w:rsidR="000274C7" w:rsidRDefault="000274C7" w:rsidP="00101DC1">
      <w:pPr>
        <w:spacing w:after="0" w:line="240" w:lineRule="auto"/>
        <w:rPr>
          <w:rFonts w:cstheme="minorHAnsi"/>
        </w:rPr>
      </w:pPr>
    </w:p>
    <w:p w14:paraId="684F7F5D" w14:textId="361E43D0" w:rsidR="008C6CF9" w:rsidRPr="00D7668E" w:rsidRDefault="008C6CF9" w:rsidP="00502B54">
      <w:pPr>
        <w:pStyle w:val="Heading1"/>
        <w:numPr>
          <w:ilvl w:val="0"/>
          <w:numId w:val="5"/>
        </w:numPr>
        <w:spacing w:after="0" w:line="240" w:lineRule="auto"/>
        <w:rPr>
          <w:b/>
          <w:sz w:val="28"/>
        </w:rPr>
      </w:pPr>
      <w:r>
        <w:rPr>
          <w:b/>
          <w:sz w:val="28"/>
        </w:rPr>
        <w:lastRenderedPageBreak/>
        <w:t>confidentiality</w:t>
      </w:r>
    </w:p>
    <w:p w14:paraId="108FEBB5" w14:textId="77777777" w:rsidR="008C6CF9" w:rsidRPr="008C6CF9" w:rsidRDefault="008C6CF9" w:rsidP="00101DC1">
      <w:pPr>
        <w:suppressAutoHyphens/>
        <w:spacing w:after="0" w:line="240" w:lineRule="auto"/>
        <w:ind w:right="432"/>
        <w:jc w:val="both"/>
        <w:rPr>
          <w:rFonts w:cstheme="minorHAnsi"/>
          <w:spacing w:val="-3"/>
        </w:rPr>
      </w:pPr>
      <w:r w:rsidRPr="008C6CF9">
        <w:rPr>
          <w:rFonts w:cstheme="minorHAnsi"/>
          <w:spacing w:val="-3"/>
        </w:rPr>
        <w:t xml:space="preserve">All materials, reports and other documents produced by the consultant under this consultancy will be the sole property of Save the Children. The consultant will maintain high level of confidentiality with external actors/stakeholders, with regard to all the materials and reports produced under the consultancy. For any use of the produced materials/reports/documents, the consultant must receive consent from Save the Children in writing.   </w:t>
      </w:r>
    </w:p>
    <w:p w14:paraId="6A63D2D4" w14:textId="71AD6481" w:rsidR="000274C7" w:rsidRDefault="000274C7" w:rsidP="00101DC1">
      <w:pPr>
        <w:spacing w:after="0" w:line="240" w:lineRule="auto"/>
        <w:rPr>
          <w:rFonts w:cstheme="minorHAnsi"/>
        </w:rPr>
      </w:pPr>
    </w:p>
    <w:p w14:paraId="32C02B9F" w14:textId="60FB204D" w:rsidR="008C6CF9" w:rsidRPr="00D7668E" w:rsidRDefault="008C6CF9" w:rsidP="00502B54">
      <w:pPr>
        <w:pStyle w:val="Heading1"/>
        <w:numPr>
          <w:ilvl w:val="0"/>
          <w:numId w:val="5"/>
        </w:numPr>
        <w:spacing w:after="0" w:line="240" w:lineRule="auto"/>
        <w:rPr>
          <w:b/>
          <w:sz w:val="28"/>
        </w:rPr>
      </w:pPr>
      <w:r>
        <w:rPr>
          <w:b/>
          <w:sz w:val="28"/>
        </w:rPr>
        <w:t>child safeguarding</w:t>
      </w:r>
    </w:p>
    <w:p w14:paraId="64672AFC" w14:textId="77777777" w:rsidR="008C6CF9" w:rsidRPr="008C6CF9" w:rsidRDefault="008C6CF9" w:rsidP="00101DC1">
      <w:pPr>
        <w:suppressAutoHyphens/>
        <w:spacing w:after="0" w:line="240" w:lineRule="auto"/>
        <w:ind w:right="432"/>
        <w:jc w:val="both"/>
        <w:rPr>
          <w:rFonts w:cstheme="minorHAnsi"/>
          <w:spacing w:val="-3"/>
        </w:rPr>
      </w:pPr>
      <w:r w:rsidRPr="008C6CF9">
        <w:rPr>
          <w:rFonts w:cstheme="minorHAnsi"/>
          <w:spacing w:val="-3"/>
        </w:rPr>
        <w:t>Save the Children is a child rights organisation where all its staff and consultants, associates, and vendors sign off Save the Children’s Child Safeguarding Policy that aims to reduce the possibility of incidence of child abuse and exploitation. The consultant will sign and abide by Save the Children’s child safeguarding policy along with the agreement.</w:t>
      </w:r>
    </w:p>
    <w:p w14:paraId="23F59CDB" w14:textId="57244CA5" w:rsidR="008C6CF9" w:rsidRDefault="008C6CF9" w:rsidP="00101DC1">
      <w:pPr>
        <w:spacing w:after="0" w:line="240" w:lineRule="auto"/>
        <w:rPr>
          <w:rFonts w:cstheme="minorHAnsi"/>
        </w:rPr>
      </w:pPr>
    </w:p>
    <w:p w14:paraId="376B4CB6" w14:textId="1CDB1FC8" w:rsidR="008C6CF9" w:rsidRPr="00D7668E" w:rsidRDefault="008C6CF9" w:rsidP="00502B54">
      <w:pPr>
        <w:pStyle w:val="Heading1"/>
        <w:numPr>
          <w:ilvl w:val="0"/>
          <w:numId w:val="5"/>
        </w:numPr>
        <w:spacing w:after="0" w:line="240" w:lineRule="auto"/>
        <w:rPr>
          <w:b/>
          <w:sz w:val="28"/>
        </w:rPr>
      </w:pPr>
      <w:r>
        <w:rPr>
          <w:b/>
          <w:sz w:val="28"/>
        </w:rPr>
        <w:t>selection criteria</w:t>
      </w:r>
    </w:p>
    <w:p w14:paraId="7141B465" w14:textId="7BDC74C8" w:rsidR="005A0A38" w:rsidRPr="00205F39" w:rsidRDefault="005A0A38" w:rsidP="00DA52D8">
      <w:pPr>
        <w:spacing w:before="120" w:after="0"/>
        <w:rPr>
          <w:rFonts w:cstheme="minorHAnsi"/>
          <w:b/>
          <w:szCs w:val="24"/>
        </w:rPr>
      </w:pPr>
      <w:r w:rsidRPr="00205F39">
        <w:rPr>
          <w:rFonts w:cstheme="minorHAnsi"/>
          <w:b/>
          <w:szCs w:val="24"/>
        </w:rPr>
        <w:t>Essential:</w:t>
      </w:r>
    </w:p>
    <w:p w14:paraId="00B28CAB" w14:textId="77777777" w:rsidR="005A0A38" w:rsidRPr="00205F39" w:rsidRDefault="005A0A38" w:rsidP="005A0A38">
      <w:pPr>
        <w:numPr>
          <w:ilvl w:val="0"/>
          <w:numId w:val="10"/>
        </w:numPr>
        <w:spacing w:after="0" w:line="240" w:lineRule="auto"/>
        <w:ind w:left="360"/>
        <w:jc w:val="both"/>
        <w:rPr>
          <w:rFonts w:cstheme="minorHAnsi"/>
        </w:rPr>
      </w:pPr>
      <w:r w:rsidRPr="00205F39">
        <w:rPr>
          <w:rFonts w:cstheme="minorHAnsi"/>
        </w:rPr>
        <w:t>At least 7 years’ experience of working internationally in in humanitarian and development settings</w:t>
      </w:r>
    </w:p>
    <w:p w14:paraId="5CCB26E7" w14:textId="77777777" w:rsidR="005A0A38" w:rsidRPr="00205F39" w:rsidRDefault="005A0A38" w:rsidP="005A0A38">
      <w:pPr>
        <w:numPr>
          <w:ilvl w:val="0"/>
          <w:numId w:val="10"/>
        </w:numPr>
        <w:suppressAutoHyphens/>
        <w:spacing w:after="0" w:line="240" w:lineRule="auto"/>
        <w:ind w:left="360"/>
        <w:jc w:val="both"/>
        <w:rPr>
          <w:rFonts w:cstheme="minorHAnsi"/>
        </w:rPr>
      </w:pPr>
      <w:r>
        <w:rPr>
          <w:rFonts w:cstheme="minorHAnsi"/>
        </w:rPr>
        <w:t>Advanced knowledge of</w:t>
      </w:r>
      <w:r w:rsidRPr="00205F39">
        <w:rPr>
          <w:rFonts w:cstheme="minorHAnsi"/>
        </w:rPr>
        <w:t xml:space="preserve"> gender equality programming, particularly with a child focused approaches</w:t>
      </w:r>
      <w:r>
        <w:rPr>
          <w:rFonts w:cstheme="minorHAnsi"/>
        </w:rPr>
        <w:t xml:space="preserve"> and in protracted humanitarian contexts</w:t>
      </w:r>
    </w:p>
    <w:p w14:paraId="78A06141" w14:textId="77777777" w:rsidR="005A0A38" w:rsidRPr="00205F39" w:rsidRDefault="005A0A38" w:rsidP="005A0A38">
      <w:pPr>
        <w:numPr>
          <w:ilvl w:val="0"/>
          <w:numId w:val="10"/>
        </w:numPr>
        <w:suppressAutoHyphens/>
        <w:spacing w:after="0" w:line="240" w:lineRule="auto"/>
        <w:ind w:left="360"/>
        <w:jc w:val="both"/>
        <w:rPr>
          <w:rFonts w:cstheme="minorHAnsi"/>
        </w:rPr>
      </w:pPr>
      <w:r w:rsidRPr="00205F39">
        <w:rPr>
          <w:rFonts w:cstheme="minorHAnsi"/>
        </w:rPr>
        <w:t xml:space="preserve">High level analytical skills, </w:t>
      </w:r>
      <w:r w:rsidRPr="00205F39">
        <w:t>facilitation, presentation and coordination skills</w:t>
      </w:r>
    </w:p>
    <w:p w14:paraId="3BBFF127" w14:textId="77777777" w:rsidR="005A0A38" w:rsidRPr="00205F39" w:rsidRDefault="005A0A38" w:rsidP="005A0A38">
      <w:pPr>
        <w:numPr>
          <w:ilvl w:val="0"/>
          <w:numId w:val="10"/>
        </w:numPr>
        <w:suppressAutoHyphens/>
        <w:spacing w:after="0" w:line="240" w:lineRule="auto"/>
        <w:ind w:left="360"/>
        <w:jc w:val="both"/>
        <w:rPr>
          <w:rFonts w:cstheme="minorHAnsi"/>
        </w:rPr>
      </w:pPr>
      <w:r w:rsidRPr="00205F39">
        <w:t xml:space="preserve">Proven hands-on experience in the area of policy analysis, and/or donor landscape mapping  </w:t>
      </w:r>
    </w:p>
    <w:p w14:paraId="4D93266E" w14:textId="77777777" w:rsidR="005A0A38" w:rsidRPr="00205F39" w:rsidRDefault="005A0A38" w:rsidP="005A0A38">
      <w:pPr>
        <w:numPr>
          <w:ilvl w:val="0"/>
          <w:numId w:val="10"/>
        </w:numPr>
        <w:suppressAutoHyphens/>
        <w:spacing w:after="0" w:line="240" w:lineRule="auto"/>
        <w:ind w:left="360"/>
        <w:jc w:val="both"/>
        <w:rPr>
          <w:rFonts w:cstheme="minorHAnsi"/>
        </w:rPr>
      </w:pPr>
      <w:r w:rsidRPr="00205F39">
        <w:t xml:space="preserve">High level English language skills (written and spoken) </w:t>
      </w:r>
    </w:p>
    <w:p w14:paraId="21362BD2" w14:textId="77777777" w:rsidR="005A0A38" w:rsidRPr="00205F39" w:rsidRDefault="005A0A38" w:rsidP="005A0A38">
      <w:pPr>
        <w:spacing w:after="0"/>
        <w:jc w:val="both"/>
      </w:pPr>
    </w:p>
    <w:p w14:paraId="363BD34F" w14:textId="77777777" w:rsidR="005A0A38" w:rsidRPr="00205F39" w:rsidRDefault="005A0A38" w:rsidP="005A0A38">
      <w:pPr>
        <w:spacing w:after="0"/>
        <w:jc w:val="both"/>
        <w:rPr>
          <w:b/>
        </w:rPr>
      </w:pPr>
      <w:r w:rsidRPr="00205F39">
        <w:rPr>
          <w:b/>
        </w:rPr>
        <w:t xml:space="preserve">Desirable: </w:t>
      </w:r>
    </w:p>
    <w:p w14:paraId="30264422" w14:textId="77777777" w:rsidR="005A0A38" w:rsidRPr="005A0A38" w:rsidRDefault="005A0A38" w:rsidP="005A0A38">
      <w:pPr>
        <w:pStyle w:val="ListParagraph"/>
        <w:numPr>
          <w:ilvl w:val="0"/>
          <w:numId w:val="14"/>
        </w:numPr>
        <w:spacing w:after="0" w:line="240" w:lineRule="auto"/>
        <w:jc w:val="both"/>
        <w:rPr>
          <w:i w:val="0"/>
          <w:sz w:val="22"/>
          <w:szCs w:val="22"/>
        </w:rPr>
      </w:pPr>
      <w:r w:rsidRPr="005A0A38">
        <w:rPr>
          <w:i w:val="0"/>
          <w:sz w:val="22"/>
          <w:szCs w:val="22"/>
        </w:rPr>
        <w:t>Proficiency in Arabic</w:t>
      </w:r>
    </w:p>
    <w:p w14:paraId="47109C4D" w14:textId="77777777" w:rsidR="005A0A38" w:rsidRPr="005A0A38" w:rsidRDefault="005A0A38" w:rsidP="005A0A38">
      <w:pPr>
        <w:pStyle w:val="ListParagraph"/>
        <w:numPr>
          <w:ilvl w:val="0"/>
          <w:numId w:val="14"/>
        </w:numPr>
        <w:spacing w:after="0" w:line="240" w:lineRule="auto"/>
        <w:jc w:val="both"/>
        <w:rPr>
          <w:i w:val="0"/>
          <w:sz w:val="22"/>
          <w:szCs w:val="22"/>
        </w:rPr>
      </w:pPr>
      <w:r w:rsidRPr="005A0A38">
        <w:rPr>
          <w:i w:val="0"/>
          <w:sz w:val="22"/>
          <w:szCs w:val="22"/>
        </w:rPr>
        <w:t>Experience in the MEEE region</w:t>
      </w:r>
    </w:p>
    <w:p w14:paraId="269D33C1" w14:textId="5B801E70" w:rsidR="008C6CF9" w:rsidRDefault="008C6CF9" w:rsidP="00101DC1">
      <w:pPr>
        <w:spacing w:after="0" w:line="240" w:lineRule="auto"/>
        <w:jc w:val="both"/>
        <w:rPr>
          <w:rFonts w:ascii="Calibri" w:hAnsi="Calibri" w:cs="Calibri"/>
        </w:rPr>
      </w:pPr>
    </w:p>
    <w:p w14:paraId="5402F6D4" w14:textId="041DB951" w:rsidR="008C6CF9" w:rsidRPr="00D7668E" w:rsidRDefault="008C6CF9" w:rsidP="00502B54">
      <w:pPr>
        <w:pStyle w:val="Heading1"/>
        <w:numPr>
          <w:ilvl w:val="0"/>
          <w:numId w:val="5"/>
        </w:numPr>
        <w:spacing w:after="0" w:line="240" w:lineRule="auto"/>
        <w:rPr>
          <w:b/>
          <w:sz w:val="28"/>
        </w:rPr>
      </w:pPr>
      <w:r>
        <w:rPr>
          <w:b/>
          <w:sz w:val="28"/>
        </w:rPr>
        <w:t>guidelines for submission</w:t>
      </w:r>
    </w:p>
    <w:p w14:paraId="33D1D229" w14:textId="73B2920B" w:rsidR="008C6CF9" w:rsidRPr="008C6CF9" w:rsidRDefault="008C6CF9" w:rsidP="00101DC1">
      <w:pPr>
        <w:spacing w:after="0" w:line="240" w:lineRule="auto"/>
        <w:jc w:val="both"/>
        <w:rPr>
          <w:rFonts w:ascii="Calibri" w:hAnsi="Calibri" w:cs="Calibri"/>
        </w:rPr>
      </w:pPr>
      <w:r w:rsidRPr="008C6CF9">
        <w:rPr>
          <w:rFonts w:ascii="Calibri" w:hAnsi="Calibri" w:cs="Calibri"/>
        </w:rPr>
        <w:t xml:space="preserve">Save the Children requests financial and technical proposals from qualified candidates. </w:t>
      </w:r>
    </w:p>
    <w:p w14:paraId="13784C68" w14:textId="77777777" w:rsidR="008C6CF9" w:rsidRPr="008C6CF9" w:rsidRDefault="008C6CF9" w:rsidP="00101DC1">
      <w:pPr>
        <w:spacing w:after="0" w:line="240" w:lineRule="auto"/>
        <w:rPr>
          <w:rFonts w:ascii="Calibri" w:hAnsi="Calibri" w:cs="Calibri"/>
        </w:rPr>
      </w:pPr>
    </w:p>
    <w:p w14:paraId="0917FFA3" w14:textId="77777777" w:rsidR="008C6CF9" w:rsidRPr="008C6CF9" w:rsidRDefault="008C6CF9" w:rsidP="00101DC1">
      <w:pPr>
        <w:spacing w:after="0" w:line="240" w:lineRule="auto"/>
        <w:rPr>
          <w:rFonts w:ascii="Calibri" w:hAnsi="Calibri" w:cs="Calibri"/>
          <w:b/>
          <w:bCs/>
        </w:rPr>
      </w:pPr>
      <w:r w:rsidRPr="008C6CF9">
        <w:rPr>
          <w:rFonts w:ascii="Calibri" w:hAnsi="Calibri" w:cs="Calibri"/>
          <w:b/>
          <w:bCs/>
        </w:rPr>
        <w:t>I. The Proposal</w:t>
      </w:r>
    </w:p>
    <w:p w14:paraId="78B6B91F" w14:textId="1DF9B8C2" w:rsidR="008C6CF9" w:rsidRPr="008C6CF9" w:rsidRDefault="008C6CF9" w:rsidP="00CA6B3B">
      <w:pPr>
        <w:spacing w:after="0" w:line="240" w:lineRule="auto"/>
        <w:rPr>
          <w:rFonts w:ascii="Calibri" w:hAnsi="Calibri" w:cs="Calibri"/>
        </w:rPr>
      </w:pPr>
      <w:r w:rsidRPr="008C6CF9">
        <w:rPr>
          <w:rFonts w:ascii="Calibri" w:hAnsi="Calibri" w:cs="Calibri"/>
        </w:rPr>
        <w:t xml:space="preserve">The interested party must submit a technical and financial proposal (including process, scope and timetable) due </w:t>
      </w:r>
      <w:r w:rsidRPr="00FD696D">
        <w:rPr>
          <w:rFonts w:ascii="Calibri" w:hAnsi="Calibri" w:cs="Calibri"/>
        </w:rPr>
        <w:t xml:space="preserve">by </w:t>
      </w:r>
      <w:r w:rsidRPr="00FD696D">
        <w:rPr>
          <w:rFonts w:ascii="Calibri" w:hAnsi="Calibri" w:cs="Calibri"/>
          <w:b/>
        </w:rPr>
        <w:t>5.00pm Amman time</w:t>
      </w:r>
      <w:r w:rsidR="00CA6B3B" w:rsidRPr="00FD696D">
        <w:rPr>
          <w:rFonts w:ascii="Calibri" w:hAnsi="Calibri" w:cs="Calibri"/>
          <w:b/>
        </w:rPr>
        <w:t>,</w:t>
      </w:r>
      <w:r w:rsidR="00CF3C29" w:rsidRPr="00FD696D">
        <w:rPr>
          <w:rFonts w:ascii="Calibri" w:hAnsi="Calibri" w:cs="Calibri"/>
          <w:b/>
        </w:rPr>
        <w:t xml:space="preserve"> </w:t>
      </w:r>
      <w:r w:rsidR="00DA52D8" w:rsidRPr="00FD696D">
        <w:rPr>
          <w:rFonts w:ascii="Calibri" w:hAnsi="Calibri" w:cs="Calibri"/>
          <w:b/>
        </w:rPr>
        <w:t>07-July</w:t>
      </w:r>
      <w:r w:rsidR="00CA6B3B" w:rsidRPr="00FD696D">
        <w:rPr>
          <w:rFonts w:ascii="Calibri" w:hAnsi="Calibri" w:cs="Calibri"/>
          <w:b/>
        </w:rPr>
        <w:t xml:space="preserve"> 2021</w:t>
      </w:r>
      <w:r w:rsidRPr="00FD696D">
        <w:rPr>
          <w:rFonts w:ascii="Calibri" w:hAnsi="Calibri" w:cs="Calibri"/>
        </w:rPr>
        <w:t>, through</w:t>
      </w:r>
      <w:r w:rsidR="00CA6B3B">
        <w:rPr>
          <w:rFonts w:ascii="Calibri" w:hAnsi="Calibri" w:cs="Calibri"/>
        </w:rPr>
        <w:t>:</w:t>
      </w:r>
      <w:r>
        <w:rPr>
          <w:rFonts w:ascii="Calibri" w:hAnsi="Calibri" w:cs="Calibri"/>
        </w:rPr>
        <w:t xml:space="preserve"> </w:t>
      </w:r>
      <w:r>
        <w:t>procurement.mee@savethechildren.org</w:t>
      </w:r>
    </w:p>
    <w:p w14:paraId="14E8E136" w14:textId="77777777" w:rsidR="008C6CF9" w:rsidRPr="008C6CF9" w:rsidRDefault="008C6CF9" w:rsidP="00101DC1">
      <w:pPr>
        <w:spacing w:after="0" w:line="240" w:lineRule="auto"/>
        <w:rPr>
          <w:rFonts w:ascii="Calibri" w:hAnsi="Calibri" w:cs="Calibri"/>
        </w:rPr>
      </w:pPr>
    </w:p>
    <w:p w14:paraId="45148D57" w14:textId="77777777" w:rsidR="008C6CF9" w:rsidRPr="008C6CF9" w:rsidRDefault="008C6CF9" w:rsidP="00101DC1">
      <w:pPr>
        <w:spacing w:after="0" w:line="240" w:lineRule="auto"/>
        <w:rPr>
          <w:rFonts w:ascii="Calibri" w:hAnsi="Calibri" w:cs="Calibri"/>
        </w:rPr>
      </w:pPr>
      <w:r w:rsidRPr="008C6CF9">
        <w:rPr>
          <w:rFonts w:ascii="Calibri" w:hAnsi="Calibri" w:cs="Calibri"/>
          <w:b/>
          <w:bCs/>
        </w:rPr>
        <w:t>II. Contents of proposal</w:t>
      </w:r>
    </w:p>
    <w:p w14:paraId="7AEF11DD" w14:textId="77777777" w:rsidR="005A0A38" w:rsidRPr="005A0A38" w:rsidRDefault="005A0A38" w:rsidP="005A0A38">
      <w:pPr>
        <w:pStyle w:val="ListParagraph"/>
        <w:numPr>
          <w:ilvl w:val="0"/>
          <w:numId w:val="11"/>
        </w:numPr>
        <w:spacing w:after="0" w:line="240" w:lineRule="auto"/>
        <w:rPr>
          <w:rFonts w:cstheme="minorHAnsi"/>
          <w:i w:val="0"/>
          <w:sz w:val="22"/>
          <w:szCs w:val="22"/>
        </w:rPr>
      </w:pPr>
      <w:r w:rsidRPr="005A0A38">
        <w:rPr>
          <w:rFonts w:cstheme="minorHAnsi"/>
          <w:i w:val="0"/>
          <w:sz w:val="22"/>
          <w:szCs w:val="22"/>
        </w:rPr>
        <w:t>Full curriculum vitae</w:t>
      </w:r>
    </w:p>
    <w:p w14:paraId="408D4C3D" w14:textId="77777777" w:rsidR="005A0A38" w:rsidRPr="005A0A38" w:rsidRDefault="005A0A38" w:rsidP="005A0A38">
      <w:pPr>
        <w:pStyle w:val="ListParagraph"/>
        <w:numPr>
          <w:ilvl w:val="0"/>
          <w:numId w:val="11"/>
        </w:numPr>
        <w:spacing w:after="0" w:line="240" w:lineRule="auto"/>
        <w:rPr>
          <w:rFonts w:cstheme="minorHAnsi"/>
          <w:i w:val="0"/>
          <w:sz w:val="22"/>
          <w:szCs w:val="22"/>
        </w:rPr>
      </w:pPr>
      <w:r w:rsidRPr="005A0A38">
        <w:rPr>
          <w:rFonts w:cstheme="minorHAnsi"/>
          <w:i w:val="0"/>
          <w:sz w:val="22"/>
          <w:szCs w:val="22"/>
        </w:rPr>
        <w:t>Summary of previous experience in undertaking tasks of this type</w:t>
      </w:r>
    </w:p>
    <w:p w14:paraId="07B28ADE" w14:textId="77777777" w:rsidR="005A0A38" w:rsidRPr="005A0A38" w:rsidRDefault="005A0A38" w:rsidP="005A0A38">
      <w:pPr>
        <w:pStyle w:val="ListParagraph"/>
        <w:numPr>
          <w:ilvl w:val="0"/>
          <w:numId w:val="11"/>
        </w:numPr>
        <w:spacing w:after="0" w:line="240" w:lineRule="auto"/>
        <w:rPr>
          <w:rFonts w:cstheme="minorHAnsi"/>
          <w:i w:val="0"/>
          <w:sz w:val="22"/>
          <w:szCs w:val="22"/>
        </w:rPr>
      </w:pPr>
      <w:r w:rsidRPr="005A0A38">
        <w:rPr>
          <w:rFonts w:cstheme="minorHAnsi"/>
          <w:i w:val="0"/>
          <w:sz w:val="22"/>
          <w:szCs w:val="22"/>
        </w:rPr>
        <w:t xml:space="preserve">Sample of previous similar assignments </w:t>
      </w:r>
    </w:p>
    <w:p w14:paraId="67861DCB" w14:textId="77777777" w:rsidR="005A0A38" w:rsidRPr="005A0A38" w:rsidRDefault="005A0A38" w:rsidP="005A0A38">
      <w:pPr>
        <w:pStyle w:val="ListParagraph"/>
        <w:numPr>
          <w:ilvl w:val="0"/>
          <w:numId w:val="11"/>
        </w:numPr>
        <w:spacing w:after="0" w:line="240" w:lineRule="auto"/>
        <w:rPr>
          <w:rFonts w:cstheme="minorHAnsi"/>
          <w:i w:val="0"/>
          <w:sz w:val="22"/>
          <w:szCs w:val="22"/>
        </w:rPr>
      </w:pPr>
      <w:r w:rsidRPr="005A0A38">
        <w:rPr>
          <w:rFonts w:cstheme="minorHAnsi"/>
          <w:i w:val="0"/>
          <w:sz w:val="22"/>
          <w:szCs w:val="22"/>
        </w:rPr>
        <w:t xml:space="preserve">Indicative consultancy methodology </w:t>
      </w:r>
    </w:p>
    <w:p w14:paraId="1F31E8F6" w14:textId="77777777" w:rsidR="005A0A38" w:rsidRPr="005A0A38" w:rsidRDefault="005A0A38" w:rsidP="005A0A38">
      <w:pPr>
        <w:pStyle w:val="ListParagraph"/>
        <w:numPr>
          <w:ilvl w:val="0"/>
          <w:numId w:val="11"/>
        </w:numPr>
        <w:spacing w:after="0" w:line="240" w:lineRule="auto"/>
        <w:rPr>
          <w:rFonts w:cstheme="minorHAnsi"/>
          <w:i w:val="0"/>
          <w:sz w:val="22"/>
          <w:szCs w:val="22"/>
        </w:rPr>
      </w:pPr>
      <w:r w:rsidRPr="005A0A38">
        <w:rPr>
          <w:rFonts w:cstheme="minorHAnsi"/>
          <w:i w:val="0"/>
          <w:sz w:val="22"/>
          <w:szCs w:val="22"/>
        </w:rPr>
        <w:t>Budget (indicating number of days and rate per day for the consultancy, clearly including VAT)</w:t>
      </w:r>
    </w:p>
    <w:p w14:paraId="158F3D46" w14:textId="77777777" w:rsidR="008C6CF9" w:rsidRPr="008C6CF9" w:rsidRDefault="008C6CF9" w:rsidP="00101DC1">
      <w:pPr>
        <w:spacing w:after="0" w:line="240" w:lineRule="auto"/>
        <w:rPr>
          <w:rFonts w:ascii="Calibri" w:hAnsi="Calibri" w:cs="Calibri"/>
        </w:rPr>
      </w:pPr>
    </w:p>
    <w:p w14:paraId="332E71E2" w14:textId="77777777" w:rsidR="008C6CF9" w:rsidRPr="008C6CF9" w:rsidRDefault="008C6CF9" w:rsidP="00101DC1">
      <w:pPr>
        <w:spacing w:after="0" w:line="240" w:lineRule="auto"/>
        <w:rPr>
          <w:rFonts w:ascii="Calibri" w:hAnsi="Calibri" w:cs="Calibri"/>
          <w:b/>
          <w:bCs/>
        </w:rPr>
      </w:pPr>
      <w:r w:rsidRPr="008C6CF9">
        <w:rPr>
          <w:rFonts w:ascii="Calibri" w:hAnsi="Calibri" w:cs="Calibri"/>
          <w:b/>
          <w:bCs/>
        </w:rPr>
        <w:t>III. Review Process</w:t>
      </w:r>
    </w:p>
    <w:p w14:paraId="17D3C192" w14:textId="76EF7458" w:rsidR="008C6CF9" w:rsidRPr="008C6CF9" w:rsidRDefault="008C6CF9" w:rsidP="00101DC1">
      <w:pPr>
        <w:spacing w:after="0" w:line="240" w:lineRule="auto"/>
        <w:rPr>
          <w:rFonts w:ascii="Calibri" w:hAnsi="Calibri" w:cs="Calibri"/>
        </w:rPr>
      </w:pPr>
      <w:r w:rsidRPr="008C6CF9">
        <w:rPr>
          <w:rFonts w:ascii="Calibri" w:hAnsi="Calibri" w:cs="Calibri"/>
        </w:rPr>
        <w:t>Once all applications are assessed, the selected party will be informed in writing</w:t>
      </w:r>
      <w:r w:rsidR="00CA6B3B">
        <w:rPr>
          <w:rFonts w:ascii="Calibri" w:hAnsi="Calibri" w:cs="Calibri"/>
        </w:rPr>
        <w:t>.</w:t>
      </w:r>
    </w:p>
    <w:p w14:paraId="5D1C8E12" w14:textId="77777777" w:rsidR="008C6CF9" w:rsidRPr="008C6CF9" w:rsidRDefault="008C6CF9" w:rsidP="00101DC1">
      <w:pPr>
        <w:spacing w:after="0" w:line="240" w:lineRule="auto"/>
        <w:jc w:val="both"/>
        <w:rPr>
          <w:rFonts w:ascii="Calibri" w:hAnsi="Calibri" w:cs="Calibri"/>
        </w:rPr>
      </w:pPr>
    </w:p>
    <w:sectPr w:rsidR="008C6CF9" w:rsidRPr="008C6CF9" w:rsidSect="002C69D5">
      <w:headerReference w:type="default" r:id="rId11"/>
      <w:footerReference w:type="default" r:id="rId12"/>
      <w:headerReference w:type="first" r:id="rId13"/>
      <w:footerReference w:type="first" r:id="rId14"/>
      <w:pgSz w:w="11906" w:h="16838" w:code="9"/>
      <w:pgMar w:top="1440" w:right="1440" w:bottom="1440" w:left="1440" w:header="567" w:footer="510" w:gutter="0"/>
      <w:cols w:space="397"/>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418EE1" w16cex:dateUtc="2020-07-08T13:44:06.594Z"/>
  <w16cex:commentExtensible w16cex:durableId="4E15499F" w16cex:dateUtc="2020-07-08T13:44:57.145Z"/>
  <w16cex:commentExtensible w16cex:durableId="59CBD2CA" w16cex:dateUtc="2020-07-08T13:46:16.888Z"/>
  <w16cex:commentExtensible w16cex:durableId="18B42AE8" w16cex:dateUtc="2020-07-08T13:48:10.108Z"/>
  <w16cex:commentExtensible w16cex:durableId="26B8411A" w16cex:dateUtc="2020-07-08T13:51:42.353Z"/>
  <w16cex:commentExtensible w16cex:durableId="1B48E80B" w16cex:dateUtc="2020-07-13T20:14:36Z"/>
  <w16cex:commentExtensible w16cex:durableId="41B767F5" w16cex:dateUtc="2020-07-13T20:20:02Z"/>
  <w16cex:commentExtensible w16cex:durableId="14BE108D" w16cex:dateUtc="2020-07-14T05:54:06.467Z"/>
  <w16cex:commentExtensible w16cex:durableId="76333837" w16cex:dateUtc="2020-07-14T06:00:28.368Z"/>
  <w16cex:commentExtensible w16cex:durableId="1F3A82A0" w16cex:dateUtc="2020-07-14T06:01:42.644Z"/>
  <w16cex:commentExtensible w16cex:durableId="60AFA046" w16cex:dateUtc="2020-07-14T06:21:48.697Z"/>
  <w16cex:commentExtensible w16cex:durableId="54E13A50" w16cex:dateUtc="2020-07-14T06:31:35.981Z"/>
  <w16cex:commentExtensible w16cex:durableId="5BB2E3FC" w16cex:dateUtc="2020-07-14T06:37:13.998Z"/>
  <w16cex:commentExtensible w16cex:durableId="6CC18D51" w16cex:dateUtc="2020-07-14T13:15:29.247Z"/>
  <w16cex:commentExtensible w16cex:durableId="098E21E5" w16cex:dateUtc="2020-07-14T14:11:08.248Z"/>
  <w16cex:commentExtensible w16cex:durableId="1C035860" w16cex:dateUtc="2020-07-14T14:15:50.182Z"/>
</w16cex:commentsExtensible>
</file>

<file path=word/commentsIds.xml><?xml version="1.0" encoding="utf-8"?>
<w16cid:commentsIds xmlns:mc="http://schemas.openxmlformats.org/markup-compatibility/2006" xmlns:w16cid="http://schemas.microsoft.com/office/word/2016/wordml/cid" mc:Ignorable="w16cid">
  <w16cid:commentId w16cid:paraId="0CF3C3E3" w16cid:durableId="38418EE1"/>
  <w16cid:commentId w16cid:paraId="68F28437" w16cid:durableId="4E15499F"/>
  <w16cid:commentId w16cid:paraId="5AF0B85C" w16cid:durableId="59CBD2CA"/>
  <w16cid:commentId w16cid:paraId="74DD0AF4" w16cid:durableId="18B42AE8"/>
  <w16cid:commentId w16cid:paraId="72750555" w16cid:durableId="26B8411A"/>
  <w16cid:commentId w16cid:paraId="112D125F" w16cid:durableId="1B48E80B"/>
  <w16cid:commentId w16cid:paraId="63449FA6" w16cid:durableId="41B767F5"/>
  <w16cid:commentId w16cid:paraId="1CDE40BE" w16cid:durableId="14BE108D"/>
  <w16cid:commentId w16cid:paraId="020516F0" w16cid:durableId="76333837"/>
  <w16cid:commentId w16cid:paraId="3E43248F" w16cid:durableId="1F3A82A0"/>
  <w16cid:commentId w16cid:paraId="59F9F385" w16cid:durableId="60AFA046"/>
  <w16cid:commentId w16cid:paraId="59CC0683" w16cid:durableId="54E13A50"/>
  <w16cid:commentId w16cid:paraId="5E62ABC6" w16cid:durableId="5BB2E3FC"/>
  <w16cid:commentId w16cid:paraId="131FDC04" w16cid:durableId="6CC18D51"/>
  <w16cid:commentId w16cid:paraId="2CBB2ECF" w16cid:durableId="098E21E5"/>
  <w16cid:commentId w16cid:paraId="008F7863" w16cid:durableId="1C0358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7348C" w14:textId="77777777" w:rsidR="00D33C7F" w:rsidRDefault="00D33C7F" w:rsidP="00C702C7">
      <w:pPr>
        <w:spacing w:after="0" w:line="240" w:lineRule="auto"/>
      </w:pPr>
      <w:r>
        <w:separator/>
      </w:r>
    </w:p>
    <w:p w14:paraId="7757B5B3" w14:textId="77777777" w:rsidR="00D33C7F" w:rsidRDefault="00D33C7F"/>
  </w:endnote>
  <w:endnote w:type="continuationSeparator" w:id="0">
    <w:p w14:paraId="5E9D2CF0" w14:textId="77777777" w:rsidR="00D33C7F" w:rsidRDefault="00D33C7F" w:rsidP="00C702C7">
      <w:pPr>
        <w:spacing w:after="0" w:line="240" w:lineRule="auto"/>
      </w:pPr>
      <w:r>
        <w:continuationSeparator/>
      </w:r>
    </w:p>
    <w:p w14:paraId="4ED1E6CD" w14:textId="77777777" w:rsidR="00D33C7F" w:rsidRDefault="00D3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A50A" w14:textId="429D010D" w:rsidR="00CC62EE" w:rsidRDefault="00CC62EE" w:rsidP="000D5B49">
    <w:pPr>
      <w:pStyle w:val="Footer"/>
      <w:rPr>
        <w:sz w:val="18"/>
        <w:szCs w:val="18"/>
      </w:rPr>
    </w:pPr>
    <w:r>
      <w:rPr>
        <w:noProof/>
        <w:lang w:eastAsia="en-GB"/>
      </w:rPr>
      <w:drawing>
        <wp:anchor distT="0" distB="0" distL="114300" distR="114300" simplePos="0" relativeHeight="251672576"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r w:rsidRPr="0006648E">
      <w:rPr>
        <w:sz w:val="18"/>
        <w:szCs w:val="18"/>
      </w:rPr>
      <w:fldChar w:fldCharType="begin"/>
    </w:r>
    <w:r w:rsidRPr="0006648E">
      <w:rPr>
        <w:sz w:val="18"/>
        <w:szCs w:val="18"/>
      </w:rPr>
      <w:instrText xml:space="preserve"> PAGE  \* Arabic  \* MERGEFORMAT </w:instrText>
    </w:r>
    <w:r w:rsidRPr="0006648E">
      <w:rPr>
        <w:sz w:val="18"/>
        <w:szCs w:val="18"/>
      </w:rPr>
      <w:fldChar w:fldCharType="separate"/>
    </w:r>
    <w:r w:rsidR="00FD696D">
      <w:rPr>
        <w:noProof/>
        <w:sz w:val="18"/>
        <w:szCs w:val="18"/>
      </w:rPr>
      <w:t>1</w:t>
    </w:r>
    <w:r w:rsidRPr="0006648E">
      <w:rPr>
        <w:sz w:val="18"/>
        <w:szCs w:val="18"/>
      </w:rPr>
      <w:fldChar w:fldCharType="end"/>
    </w:r>
  </w:p>
  <w:p w14:paraId="31FB3E56" w14:textId="77777777" w:rsidR="00CC62EE" w:rsidRPr="0006648E" w:rsidRDefault="00CC62EE" w:rsidP="000D5B49">
    <w:pPr>
      <w:pStyle w:val="Foo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80B5" w14:textId="77777777" w:rsidR="00CC62EE" w:rsidRDefault="00CC62EE"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0188C" w14:textId="77777777" w:rsidR="00D33C7F" w:rsidRDefault="00D33C7F" w:rsidP="00C702C7">
      <w:pPr>
        <w:spacing w:after="0" w:line="240" w:lineRule="auto"/>
      </w:pPr>
      <w:r>
        <w:separator/>
      </w:r>
    </w:p>
    <w:p w14:paraId="0A5A6D9B" w14:textId="77777777" w:rsidR="00D33C7F" w:rsidRDefault="00D33C7F"/>
  </w:footnote>
  <w:footnote w:type="continuationSeparator" w:id="0">
    <w:p w14:paraId="053483CC" w14:textId="77777777" w:rsidR="00D33C7F" w:rsidRDefault="00D33C7F" w:rsidP="00C702C7">
      <w:pPr>
        <w:spacing w:after="0" w:line="240" w:lineRule="auto"/>
      </w:pPr>
      <w:r>
        <w:continuationSeparator/>
      </w:r>
    </w:p>
    <w:p w14:paraId="4AB0CEF3" w14:textId="77777777" w:rsidR="00D33C7F" w:rsidRDefault="00D33C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459F" w14:textId="77777777" w:rsidR="00CC62EE" w:rsidRPr="004B39E2" w:rsidRDefault="00CC62EE" w:rsidP="004B39E2">
    <w:pPr>
      <w:pStyle w:val="Header"/>
      <w:rPr>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5897" w14:textId="77777777" w:rsidR="00CC62EE" w:rsidRPr="00D14CD0" w:rsidRDefault="00CC62EE" w:rsidP="00D14C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1" w15:restartNumberingAfterBreak="0">
    <w:nsid w:val="FFFFFF89"/>
    <w:multiLevelType w:val="singleLevel"/>
    <w:tmpl w:val="9202E9D2"/>
    <w:lvl w:ilvl="0">
      <w:start w:val="1"/>
      <w:numFmt w:val="bullet"/>
      <w:pStyle w:val="ListBullet"/>
      <w:lvlText w:val=""/>
      <w:lvlJc w:val="left"/>
      <w:pPr>
        <w:ind w:left="360" w:hanging="360"/>
      </w:pPr>
      <w:rPr>
        <w:rFonts w:ascii="Symbol" w:hAnsi="Symbol" w:hint="default"/>
        <w:color w:val="DA291C" w:themeColor="accent1"/>
      </w:rPr>
    </w:lvl>
  </w:abstractNum>
  <w:abstractNum w:abstractNumId="2" w15:restartNumberingAfterBreak="0">
    <w:nsid w:val="043B0250"/>
    <w:multiLevelType w:val="hybridMultilevel"/>
    <w:tmpl w:val="D13CA5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064F4"/>
    <w:multiLevelType w:val="hybridMultilevel"/>
    <w:tmpl w:val="5C049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9F07CF"/>
    <w:multiLevelType w:val="hybridMultilevel"/>
    <w:tmpl w:val="63DEB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22110D"/>
    <w:multiLevelType w:val="multilevel"/>
    <w:tmpl w:val="1430D4CC"/>
    <w:lvl w:ilvl="0">
      <w:start w:val="1"/>
      <w:numFmt w:val="none"/>
      <w:pStyle w:val="Heading2"/>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FA0F9C"/>
    <w:multiLevelType w:val="hybridMultilevel"/>
    <w:tmpl w:val="2D42A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1B7791"/>
    <w:multiLevelType w:val="multilevel"/>
    <w:tmpl w:val="2662D0E0"/>
    <w:lvl w:ilvl="0">
      <w:start w:val="1"/>
      <w:numFmt w:val="decimal"/>
      <w:pStyle w:val="StyleBRIDGE"/>
      <w:lvlText w:val="%1."/>
      <w:lvlJc w:val="left"/>
      <w:pPr>
        <w:ind w:left="720" w:hanging="360"/>
      </w:pPr>
      <w:rPr>
        <w:rFonts w:hint="default"/>
      </w:rPr>
    </w:lvl>
    <w:lvl w:ilvl="1">
      <w:start w:val="1"/>
      <w:numFmt w:val="decimal"/>
      <w:pStyle w:val="BRIDGE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C8A58AC"/>
    <w:multiLevelType w:val="hybridMultilevel"/>
    <w:tmpl w:val="0B8EC5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5E3816"/>
    <w:multiLevelType w:val="hybridMultilevel"/>
    <w:tmpl w:val="75888276"/>
    <w:lvl w:ilvl="0" w:tplc="FFFFFFFF">
      <w:start w:val="1"/>
      <w:numFmt w:val="decimal"/>
      <w:lvlText w:val="%1."/>
      <w:lvlJc w:val="left"/>
      <w:pPr>
        <w:tabs>
          <w:tab w:val="num" w:pos="1095"/>
        </w:tabs>
        <w:ind w:left="1095" w:hanging="360"/>
      </w:pPr>
    </w:lvl>
    <w:lvl w:ilvl="1" w:tplc="FFFFFFFF" w:tentative="1">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10" w15:restartNumberingAfterBreak="0">
    <w:nsid w:val="6D1C176C"/>
    <w:multiLevelType w:val="hybridMultilevel"/>
    <w:tmpl w:val="A1E8A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1216BE"/>
    <w:multiLevelType w:val="hybridMultilevel"/>
    <w:tmpl w:val="CC30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25A21"/>
    <w:multiLevelType w:val="hybridMultilevel"/>
    <w:tmpl w:val="DA78D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43256F"/>
    <w:multiLevelType w:val="hybridMultilevel"/>
    <w:tmpl w:val="AE86B5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7"/>
  </w:num>
  <w:num w:numId="5">
    <w:abstractNumId w:val="13"/>
  </w:num>
  <w:num w:numId="6">
    <w:abstractNumId w:val="12"/>
  </w:num>
  <w:num w:numId="7">
    <w:abstractNumId w:val="8"/>
  </w:num>
  <w:num w:numId="8">
    <w:abstractNumId w:val="9"/>
  </w:num>
  <w:num w:numId="9">
    <w:abstractNumId w:val="4"/>
  </w:num>
  <w:num w:numId="10">
    <w:abstractNumId w:val="11"/>
  </w:num>
  <w:num w:numId="11">
    <w:abstractNumId w:val="6"/>
  </w:num>
  <w:num w:numId="12">
    <w:abstractNumId w:val="3"/>
  </w:num>
  <w:num w:numId="13">
    <w:abstractNumId w:val="2"/>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E"/>
    <w:rsid w:val="000005FE"/>
    <w:rsid w:val="000016D3"/>
    <w:rsid w:val="00005DC8"/>
    <w:rsid w:val="000131A3"/>
    <w:rsid w:val="00014B89"/>
    <w:rsid w:val="00017360"/>
    <w:rsid w:val="00021A39"/>
    <w:rsid w:val="000220A7"/>
    <w:rsid w:val="00023573"/>
    <w:rsid w:val="00023F87"/>
    <w:rsid w:val="00025E7D"/>
    <w:rsid w:val="00027473"/>
    <w:rsid w:val="000274C7"/>
    <w:rsid w:val="00031E1D"/>
    <w:rsid w:val="00032E95"/>
    <w:rsid w:val="00037C17"/>
    <w:rsid w:val="000429AC"/>
    <w:rsid w:val="00042B6A"/>
    <w:rsid w:val="00042B99"/>
    <w:rsid w:val="000574AD"/>
    <w:rsid w:val="00060D54"/>
    <w:rsid w:val="00062EFA"/>
    <w:rsid w:val="000637A6"/>
    <w:rsid w:val="00065922"/>
    <w:rsid w:val="0006648E"/>
    <w:rsid w:val="00066BBA"/>
    <w:rsid w:val="00071509"/>
    <w:rsid w:val="00072196"/>
    <w:rsid w:val="000767E9"/>
    <w:rsid w:val="000808BE"/>
    <w:rsid w:val="00083DD5"/>
    <w:rsid w:val="000A49CD"/>
    <w:rsid w:val="000B0BA6"/>
    <w:rsid w:val="000B4C0F"/>
    <w:rsid w:val="000B5010"/>
    <w:rsid w:val="000C20BD"/>
    <w:rsid w:val="000C5EA5"/>
    <w:rsid w:val="000C6AAF"/>
    <w:rsid w:val="000D2269"/>
    <w:rsid w:val="000D2DE0"/>
    <w:rsid w:val="000D30A0"/>
    <w:rsid w:val="000D3D45"/>
    <w:rsid w:val="000D5B49"/>
    <w:rsid w:val="000D5F30"/>
    <w:rsid w:val="000E6B52"/>
    <w:rsid w:val="000F07CA"/>
    <w:rsid w:val="000F4105"/>
    <w:rsid w:val="000F5C22"/>
    <w:rsid w:val="00100FCC"/>
    <w:rsid w:val="001018B4"/>
    <w:rsid w:val="00101DC1"/>
    <w:rsid w:val="00102925"/>
    <w:rsid w:val="0010462B"/>
    <w:rsid w:val="001074B8"/>
    <w:rsid w:val="00111435"/>
    <w:rsid w:val="0011272C"/>
    <w:rsid w:val="00113969"/>
    <w:rsid w:val="00122EDB"/>
    <w:rsid w:val="00123AD3"/>
    <w:rsid w:val="00130191"/>
    <w:rsid w:val="0013221E"/>
    <w:rsid w:val="00132331"/>
    <w:rsid w:val="00133790"/>
    <w:rsid w:val="00137987"/>
    <w:rsid w:val="001422F4"/>
    <w:rsid w:val="00143EF9"/>
    <w:rsid w:val="00145648"/>
    <w:rsid w:val="00151989"/>
    <w:rsid w:val="0015379C"/>
    <w:rsid w:val="00155769"/>
    <w:rsid w:val="00155A9F"/>
    <w:rsid w:val="00160107"/>
    <w:rsid w:val="00162E50"/>
    <w:rsid w:val="00163664"/>
    <w:rsid w:val="00164655"/>
    <w:rsid w:val="001708B9"/>
    <w:rsid w:val="0017280D"/>
    <w:rsid w:val="0017413B"/>
    <w:rsid w:val="001757CE"/>
    <w:rsid w:val="0017756B"/>
    <w:rsid w:val="00180BDA"/>
    <w:rsid w:val="0018108F"/>
    <w:rsid w:val="00181FC0"/>
    <w:rsid w:val="001828B7"/>
    <w:rsid w:val="00186FC8"/>
    <w:rsid w:val="00192139"/>
    <w:rsid w:val="00192776"/>
    <w:rsid w:val="001975EF"/>
    <w:rsid w:val="0019765A"/>
    <w:rsid w:val="001A45CF"/>
    <w:rsid w:val="001B0865"/>
    <w:rsid w:val="001B17B1"/>
    <w:rsid w:val="001B5C19"/>
    <w:rsid w:val="001C588E"/>
    <w:rsid w:val="001C7AB2"/>
    <w:rsid w:val="001D025F"/>
    <w:rsid w:val="001D03A7"/>
    <w:rsid w:val="001D079E"/>
    <w:rsid w:val="001D58C5"/>
    <w:rsid w:val="001D630C"/>
    <w:rsid w:val="001E7D3E"/>
    <w:rsid w:val="001F36A8"/>
    <w:rsid w:val="001F4758"/>
    <w:rsid w:val="001F61B8"/>
    <w:rsid w:val="00207329"/>
    <w:rsid w:val="00210771"/>
    <w:rsid w:val="00210A31"/>
    <w:rsid w:val="00210A59"/>
    <w:rsid w:val="002138B2"/>
    <w:rsid w:val="00216CF6"/>
    <w:rsid w:val="00220CCF"/>
    <w:rsid w:val="00224E2A"/>
    <w:rsid w:val="002259EC"/>
    <w:rsid w:val="002302C6"/>
    <w:rsid w:val="002309C4"/>
    <w:rsid w:val="00231B44"/>
    <w:rsid w:val="00233A10"/>
    <w:rsid w:val="002340B6"/>
    <w:rsid w:val="00234BA2"/>
    <w:rsid w:val="00237E11"/>
    <w:rsid w:val="00240ED9"/>
    <w:rsid w:val="002415DF"/>
    <w:rsid w:val="0025086A"/>
    <w:rsid w:val="00253D2A"/>
    <w:rsid w:val="00254528"/>
    <w:rsid w:val="00255D53"/>
    <w:rsid w:val="00264020"/>
    <w:rsid w:val="00265009"/>
    <w:rsid w:val="00265714"/>
    <w:rsid w:val="00265D19"/>
    <w:rsid w:val="00273115"/>
    <w:rsid w:val="00273447"/>
    <w:rsid w:val="0027462D"/>
    <w:rsid w:val="002851E1"/>
    <w:rsid w:val="0028627F"/>
    <w:rsid w:val="00294144"/>
    <w:rsid w:val="002958C6"/>
    <w:rsid w:val="00297214"/>
    <w:rsid w:val="002A1F9B"/>
    <w:rsid w:val="002A2661"/>
    <w:rsid w:val="002A7190"/>
    <w:rsid w:val="002B6826"/>
    <w:rsid w:val="002C072A"/>
    <w:rsid w:val="002C1562"/>
    <w:rsid w:val="002C21C0"/>
    <w:rsid w:val="002C5FEA"/>
    <w:rsid w:val="002C690A"/>
    <w:rsid w:val="002C69D5"/>
    <w:rsid w:val="002C69FA"/>
    <w:rsid w:val="002D3CC2"/>
    <w:rsid w:val="002D41F7"/>
    <w:rsid w:val="002D582B"/>
    <w:rsid w:val="002E174E"/>
    <w:rsid w:val="002E1C00"/>
    <w:rsid w:val="002E7099"/>
    <w:rsid w:val="002F2771"/>
    <w:rsid w:val="002F3E9D"/>
    <w:rsid w:val="00301752"/>
    <w:rsid w:val="00310142"/>
    <w:rsid w:val="003121C1"/>
    <w:rsid w:val="003131F6"/>
    <w:rsid w:val="0031345D"/>
    <w:rsid w:val="00313D51"/>
    <w:rsid w:val="0031535A"/>
    <w:rsid w:val="003167AF"/>
    <w:rsid w:val="0032373B"/>
    <w:rsid w:val="00324608"/>
    <w:rsid w:val="00326226"/>
    <w:rsid w:val="003264D7"/>
    <w:rsid w:val="003337FF"/>
    <w:rsid w:val="00336241"/>
    <w:rsid w:val="00337680"/>
    <w:rsid w:val="003449B5"/>
    <w:rsid w:val="00347262"/>
    <w:rsid w:val="00352B8E"/>
    <w:rsid w:val="00352F80"/>
    <w:rsid w:val="0035756D"/>
    <w:rsid w:val="00357E4F"/>
    <w:rsid w:val="00364BC2"/>
    <w:rsid w:val="00367EFF"/>
    <w:rsid w:val="00367F2D"/>
    <w:rsid w:val="0037234A"/>
    <w:rsid w:val="00375EB8"/>
    <w:rsid w:val="00377AE4"/>
    <w:rsid w:val="003863C7"/>
    <w:rsid w:val="0039181B"/>
    <w:rsid w:val="00395986"/>
    <w:rsid w:val="003A0679"/>
    <w:rsid w:val="003A239B"/>
    <w:rsid w:val="003B15EF"/>
    <w:rsid w:val="003B2838"/>
    <w:rsid w:val="003C12AF"/>
    <w:rsid w:val="003C4DE4"/>
    <w:rsid w:val="003D3BCA"/>
    <w:rsid w:val="003E138D"/>
    <w:rsid w:val="003E1820"/>
    <w:rsid w:val="003E2FAD"/>
    <w:rsid w:val="003E67E0"/>
    <w:rsid w:val="003F491C"/>
    <w:rsid w:val="003F6CE3"/>
    <w:rsid w:val="004026C8"/>
    <w:rsid w:val="00403AB5"/>
    <w:rsid w:val="00404297"/>
    <w:rsid w:val="004052BC"/>
    <w:rsid w:val="004065D5"/>
    <w:rsid w:val="0041034A"/>
    <w:rsid w:val="00412EA0"/>
    <w:rsid w:val="0042277F"/>
    <w:rsid w:val="004234A5"/>
    <w:rsid w:val="00432641"/>
    <w:rsid w:val="004353A5"/>
    <w:rsid w:val="004355FC"/>
    <w:rsid w:val="004403F6"/>
    <w:rsid w:val="004441AA"/>
    <w:rsid w:val="0044558B"/>
    <w:rsid w:val="004509E3"/>
    <w:rsid w:val="00451AD9"/>
    <w:rsid w:val="00451E4B"/>
    <w:rsid w:val="0046564C"/>
    <w:rsid w:val="00466E19"/>
    <w:rsid w:val="00470263"/>
    <w:rsid w:val="00473614"/>
    <w:rsid w:val="00481A1E"/>
    <w:rsid w:val="004860A3"/>
    <w:rsid w:val="0049202A"/>
    <w:rsid w:val="00492CF7"/>
    <w:rsid w:val="004935E6"/>
    <w:rsid w:val="0049732B"/>
    <w:rsid w:val="004A0DCC"/>
    <w:rsid w:val="004A39AE"/>
    <w:rsid w:val="004A518E"/>
    <w:rsid w:val="004B39E2"/>
    <w:rsid w:val="004C24F4"/>
    <w:rsid w:val="004C7372"/>
    <w:rsid w:val="004D49FC"/>
    <w:rsid w:val="004D6043"/>
    <w:rsid w:val="004D6DCE"/>
    <w:rsid w:val="004E2FCF"/>
    <w:rsid w:val="004E3040"/>
    <w:rsid w:val="004E6D50"/>
    <w:rsid w:val="004F47B4"/>
    <w:rsid w:val="004F4A4B"/>
    <w:rsid w:val="004F5701"/>
    <w:rsid w:val="004F6069"/>
    <w:rsid w:val="00500BA7"/>
    <w:rsid w:val="00501EFF"/>
    <w:rsid w:val="00502B54"/>
    <w:rsid w:val="00510357"/>
    <w:rsid w:val="0051063C"/>
    <w:rsid w:val="00511D35"/>
    <w:rsid w:val="005270F9"/>
    <w:rsid w:val="00531A3A"/>
    <w:rsid w:val="00537B54"/>
    <w:rsid w:val="00543BA8"/>
    <w:rsid w:val="00553D18"/>
    <w:rsid w:val="0055465F"/>
    <w:rsid w:val="00563C6F"/>
    <w:rsid w:val="00565ADB"/>
    <w:rsid w:val="00565D27"/>
    <w:rsid w:val="00571D79"/>
    <w:rsid w:val="005721BB"/>
    <w:rsid w:val="00573556"/>
    <w:rsid w:val="00573D2F"/>
    <w:rsid w:val="00577D4F"/>
    <w:rsid w:val="005843DE"/>
    <w:rsid w:val="00585AF4"/>
    <w:rsid w:val="0059682F"/>
    <w:rsid w:val="00596884"/>
    <w:rsid w:val="005A0A38"/>
    <w:rsid w:val="005A6C54"/>
    <w:rsid w:val="005B1F3A"/>
    <w:rsid w:val="005B33F9"/>
    <w:rsid w:val="005B6B53"/>
    <w:rsid w:val="005C025F"/>
    <w:rsid w:val="005C2303"/>
    <w:rsid w:val="005D5512"/>
    <w:rsid w:val="005E0C89"/>
    <w:rsid w:val="005E2A81"/>
    <w:rsid w:val="005E5F30"/>
    <w:rsid w:val="005F1764"/>
    <w:rsid w:val="005F4300"/>
    <w:rsid w:val="005F525A"/>
    <w:rsid w:val="005F54F5"/>
    <w:rsid w:val="005F74C0"/>
    <w:rsid w:val="005F7F1D"/>
    <w:rsid w:val="00605199"/>
    <w:rsid w:val="00624C5E"/>
    <w:rsid w:val="00624FF3"/>
    <w:rsid w:val="00626CCD"/>
    <w:rsid w:val="006278F8"/>
    <w:rsid w:val="00627C5B"/>
    <w:rsid w:val="006341A7"/>
    <w:rsid w:val="00636AB4"/>
    <w:rsid w:val="00640451"/>
    <w:rsid w:val="0064309A"/>
    <w:rsid w:val="00645B6B"/>
    <w:rsid w:val="00652254"/>
    <w:rsid w:val="00671EC0"/>
    <w:rsid w:val="00676F48"/>
    <w:rsid w:val="0067770B"/>
    <w:rsid w:val="00684364"/>
    <w:rsid w:val="00686056"/>
    <w:rsid w:val="00693C9D"/>
    <w:rsid w:val="006A4357"/>
    <w:rsid w:val="006A473D"/>
    <w:rsid w:val="006B16E0"/>
    <w:rsid w:val="006B3439"/>
    <w:rsid w:val="006B4816"/>
    <w:rsid w:val="006C5AD3"/>
    <w:rsid w:val="006C617F"/>
    <w:rsid w:val="006D5700"/>
    <w:rsid w:val="006D6A17"/>
    <w:rsid w:val="006E5CE2"/>
    <w:rsid w:val="006F0AF7"/>
    <w:rsid w:val="00705325"/>
    <w:rsid w:val="007172D9"/>
    <w:rsid w:val="00720888"/>
    <w:rsid w:val="0072686C"/>
    <w:rsid w:val="0072746D"/>
    <w:rsid w:val="00734A6A"/>
    <w:rsid w:val="00734C1B"/>
    <w:rsid w:val="0073734A"/>
    <w:rsid w:val="00737595"/>
    <w:rsid w:val="007516F0"/>
    <w:rsid w:val="007535EE"/>
    <w:rsid w:val="00753A99"/>
    <w:rsid w:val="0075697B"/>
    <w:rsid w:val="007624EE"/>
    <w:rsid w:val="0076614E"/>
    <w:rsid w:val="007710D2"/>
    <w:rsid w:val="00772CB5"/>
    <w:rsid w:val="00777FBB"/>
    <w:rsid w:val="007808E4"/>
    <w:rsid w:val="00783A27"/>
    <w:rsid w:val="007866FD"/>
    <w:rsid w:val="00787BE8"/>
    <w:rsid w:val="00791B7E"/>
    <w:rsid w:val="0079305A"/>
    <w:rsid w:val="00795877"/>
    <w:rsid w:val="00795CAB"/>
    <w:rsid w:val="007B13A0"/>
    <w:rsid w:val="007B2FB1"/>
    <w:rsid w:val="007B3B98"/>
    <w:rsid w:val="007B4A4F"/>
    <w:rsid w:val="007C008A"/>
    <w:rsid w:val="007C7944"/>
    <w:rsid w:val="007D0786"/>
    <w:rsid w:val="007D5621"/>
    <w:rsid w:val="007D72EA"/>
    <w:rsid w:val="007D7E0A"/>
    <w:rsid w:val="007E03C0"/>
    <w:rsid w:val="007E03D7"/>
    <w:rsid w:val="007E2836"/>
    <w:rsid w:val="007E51C7"/>
    <w:rsid w:val="007E568A"/>
    <w:rsid w:val="007F10DD"/>
    <w:rsid w:val="007F29B0"/>
    <w:rsid w:val="007F4828"/>
    <w:rsid w:val="007F49A7"/>
    <w:rsid w:val="00805255"/>
    <w:rsid w:val="00813DBC"/>
    <w:rsid w:val="00813F7A"/>
    <w:rsid w:val="00822618"/>
    <w:rsid w:val="00822FC7"/>
    <w:rsid w:val="0082520E"/>
    <w:rsid w:val="008269BA"/>
    <w:rsid w:val="00837A5F"/>
    <w:rsid w:val="00840145"/>
    <w:rsid w:val="00856A0E"/>
    <w:rsid w:val="00861CF2"/>
    <w:rsid w:val="008641E3"/>
    <w:rsid w:val="0086475A"/>
    <w:rsid w:val="00872FD2"/>
    <w:rsid w:val="00873D35"/>
    <w:rsid w:val="008756A1"/>
    <w:rsid w:val="00876869"/>
    <w:rsid w:val="0088532B"/>
    <w:rsid w:val="00894011"/>
    <w:rsid w:val="00894F9A"/>
    <w:rsid w:val="008A1294"/>
    <w:rsid w:val="008B52D5"/>
    <w:rsid w:val="008C0EAA"/>
    <w:rsid w:val="008C5A91"/>
    <w:rsid w:val="008C6CF9"/>
    <w:rsid w:val="008C6D00"/>
    <w:rsid w:val="008D66ED"/>
    <w:rsid w:val="008E1C7D"/>
    <w:rsid w:val="008E6B7D"/>
    <w:rsid w:val="008E7898"/>
    <w:rsid w:val="008E78CD"/>
    <w:rsid w:val="008E7B8E"/>
    <w:rsid w:val="008E7ED3"/>
    <w:rsid w:val="008F4CD1"/>
    <w:rsid w:val="00900C03"/>
    <w:rsid w:val="00905422"/>
    <w:rsid w:val="00906972"/>
    <w:rsid w:val="00913A43"/>
    <w:rsid w:val="00914D3A"/>
    <w:rsid w:val="0091759B"/>
    <w:rsid w:val="009242BE"/>
    <w:rsid w:val="009261BC"/>
    <w:rsid w:val="009276CD"/>
    <w:rsid w:val="00930258"/>
    <w:rsid w:val="00930A39"/>
    <w:rsid w:val="00931F36"/>
    <w:rsid w:val="009350F0"/>
    <w:rsid w:val="00937E5B"/>
    <w:rsid w:val="009412C9"/>
    <w:rsid w:val="0094201C"/>
    <w:rsid w:val="00943178"/>
    <w:rsid w:val="009434F7"/>
    <w:rsid w:val="00943EEC"/>
    <w:rsid w:val="0094414D"/>
    <w:rsid w:val="00945E0D"/>
    <w:rsid w:val="0094638E"/>
    <w:rsid w:val="00953D40"/>
    <w:rsid w:val="0095498C"/>
    <w:rsid w:val="00955D0F"/>
    <w:rsid w:val="00955E68"/>
    <w:rsid w:val="00961DBA"/>
    <w:rsid w:val="009677D0"/>
    <w:rsid w:val="009704C1"/>
    <w:rsid w:val="0097186F"/>
    <w:rsid w:val="00975625"/>
    <w:rsid w:val="00977BEA"/>
    <w:rsid w:val="00981081"/>
    <w:rsid w:val="00991538"/>
    <w:rsid w:val="0099233A"/>
    <w:rsid w:val="0099372E"/>
    <w:rsid w:val="00993FA0"/>
    <w:rsid w:val="00995104"/>
    <w:rsid w:val="00995E6D"/>
    <w:rsid w:val="009A0098"/>
    <w:rsid w:val="009A0464"/>
    <w:rsid w:val="009A2009"/>
    <w:rsid w:val="009A35CE"/>
    <w:rsid w:val="009A44A5"/>
    <w:rsid w:val="009B2604"/>
    <w:rsid w:val="009B2D95"/>
    <w:rsid w:val="009B394B"/>
    <w:rsid w:val="009B4CB4"/>
    <w:rsid w:val="009B7A4C"/>
    <w:rsid w:val="009C3B88"/>
    <w:rsid w:val="009C403B"/>
    <w:rsid w:val="009D3564"/>
    <w:rsid w:val="009E006D"/>
    <w:rsid w:val="009E0A65"/>
    <w:rsid w:val="009E5122"/>
    <w:rsid w:val="009E6A53"/>
    <w:rsid w:val="00A06B01"/>
    <w:rsid w:val="00A17957"/>
    <w:rsid w:val="00A23707"/>
    <w:rsid w:val="00A2375E"/>
    <w:rsid w:val="00A27045"/>
    <w:rsid w:val="00A32258"/>
    <w:rsid w:val="00A33333"/>
    <w:rsid w:val="00A33450"/>
    <w:rsid w:val="00A33DFB"/>
    <w:rsid w:val="00A35DBE"/>
    <w:rsid w:val="00A411CA"/>
    <w:rsid w:val="00A417F0"/>
    <w:rsid w:val="00A43B3E"/>
    <w:rsid w:val="00A4729B"/>
    <w:rsid w:val="00A52260"/>
    <w:rsid w:val="00A53854"/>
    <w:rsid w:val="00A574EF"/>
    <w:rsid w:val="00A6328A"/>
    <w:rsid w:val="00A659E1"/>
    <w:rsid w:val="00A76951"/>
    <w:rsid w:val="00A80E26"/>
    <w:rsid w:val="00A81AE0"/>
    <w:rsid w:val="00A835F9"/>
    <w:rsid w:val="00A85445"/>
    <w:rsid w:val="00A855AD"/>
    <w:rsid w:val="00A85964"/>
    <w:rsid w:val="00A9095F"/>
    <w:rsid w:val="00A95004"/>
    <w:rsid w:val="00AA34E3"/>
    <w:rsid w:val="00AB3DD5"/>
    <w:rsid w:val="00AB6787"/>
    <w:rsid w:val="00AC1D94"/>
    <w:rsid w:val="00AC265D"/>
    <w:rsid w:val="00AC3CEA"/>
    <w:rsid w:val="00AC7D0F"/>
    <w:rsid w:val="00AE2600"/>
    <w:rsid w:val="00AE710A"/>
    <w:rsid w:val="00AF3CA5"/>
    <w:rsid w:val="00AF3F68"/>
    <w:rsid w:val="00AF778D"/>
    <w:rsid w:val="00B020E4"/>
    <w:rsid w:val="00B14040"/>
    <w:rsid w:val="00B170B2"/>
    <w:rsid w:val="00B23E1E"/>
    <w:rsid w:val="00B260B8"/>
    <w:rsid w:val="00B262AB"/>
    <w:rsid w:val="00B32345"/>
    <w:rsid w:val="00B33AFE"/>
    <w:rsid w:val="00B33CB7"/>
    <w:rsid w:val="00B513F4"/>
    <w:rsid w:val="00B5252B"/>
    <w:rsid w:val="00B557E2"/>
    <w:rsid w:val="00B617CD"/>
    <w:rsid w:val="00B64905"/>
    <w:rsid w:val="00B67436"/>
    <w:rsid w:val="00B720BA"/>
    <w:rsid w:val="00B72688"/>
    <w:rsid w:val="00B735FA"/>
    <w:rsid w:val="00B76AF5"/>
    <w:rsid w:val="00B805E0"/>
    <w:rsid w:val="00B85B98"/>
    <w:rsid w:val="00B86C10"/>
    <w:rsid w:val="00B904D2"/>
    <w:rsid w:val="00B9052D"/>
    <w:rsid w:val="00B95C2B"/>
    <w:rsid w:val="00BB6CB3"/>
    <w:rsid w:val="00BC220E"/>
    <w:rsid w:val="00BC266F"/>
    <w:rsid w:val="00BC515B"/>
    <w:rsid w:val="00BC7982"/>
    <w:rsid w:val="00BD1069"/>
    <w:rsid w:val="00BD511E"/>
    <w:rsid w:val="00BD5895"/>
    <w:rsid w:val="00BE1924"/>
    <w:rsid w:val="00BE20A6"/>
    <w:rsid w:val="00BE48D2"/>
    <w:rsid w:val="00BE4C8F"/>
    <w:rsid w:val="00BF6EBB"/>
    <w:rsid w:val="00BF7B8A"/>
    <w:rsid w:val="00C01935"/>
    <w:rsid w:val="00C02BD9"/>
    <w:rsid w:val="00C0305C"/>
    <w:rsid w:val="00C04DCF"/>
    <w:rsid w:val="00C06177"/>
    <w:rsid w:val="00C075EA"/>
    <w:rsid w:val="00C10612"/>
    <w:rsid w:val="00C107DD"/>
    <w:rsid w:val="00C171A6"/>
    <w:rsid w:val="00C23990"/>
    <w:rsid w:val="00C24A58"/>
    <w:rsid w:val="00C24FB2"/>
    <w:rsid w:val="00C25EC1"/>
    <w:rsid w:val="00C3362A"/>
    <w:rsid w:val="00C33EA4"/>
    <w:rsid w:val="00C33F1A"/>
    <w:rsid w:val="00C34C43"/>
    <w:rsid w:val="00C35907"/>
    <w:rsid w:val="00C3631F"/>
    <w:rsid w:val="00C438D4"/>
    <w:rsid w:val="00C50A26"/>
    <w:rsid w:val="00C61AC6"/>
    <w:rsid w:val="00C62A85"/>
    <w:rsid w:val="00C64CE6"/>
    <w:rsid w:val="00C66A36"/>
    <w:rsid w:val="00C702C7"/>
    <w:rsid w:val="00C7763A"/>
    <w:rsid w:val="00C83441"/>
    <w:rsid w:val="00C836F0"/>
    <w:rsid w:val="00C86DD2"/>
    <w:rsid w:val="00C8703B"/>
    <w:rsid w:val="00C91F5C"/>
    <w:rsid w:val="00CA4E63"/>
    <w:rsid w:val="00CA500C"/>
    <w:rsid w:val="00CA5B05"/>
    <w:rsid w:val="00CA6B3B"/>
    <w:rsid w:val="00CB4A27"/>
    <w:rsid w:val="00CB5D48"/>
    <w:rsid w:val="00CB6BAF"/>
    <w:rsid w:val="00CC4AA4"/>
    <w:rsid w:val="00CC5237"/>
    <w:rsid w:val="00CC55B9"/>
    <w:rsid w:val="00CC5E8F"/>
    <w:rsid w:val="00CC62EE"/>
    <w:rsid w:val="00CC68EB"/>
    <w:rsid w:val="00CF3C29"/>
    <w:rsid w:val="00CF42C1"/>
    <w:rsid w:val="00CF7F7F"/>
    <w:rsid w:val="00D06D98"/>
    <w:rsid w:val="00D13723"/>
    <w:rsid w:val="00D14CD0"/>
    <w:rsid w:val="00D236E8"/>
    <w:rsid w:val="00D27B73"/>
    <w:rsid w:val="00D321E0"/>
    <w:rsid w:val="00D339FC"/>
    <w:rsid w:val="00D33C7F"/>
    <w:rsid w:val="00D34646"/>
    <w:rsid w:val="00D4280C"/>
    <w:rsid w:val="00D45955"/>
    <w:rsid w:val="00D5145B"/>
    <w:rsid w:val="00D5297D"/>
    <w:rsid w:val="00D52A6A"/>
    <w:rsid w:val="00D61DFC"/>
    <w:rsid w:val="00D70B03"/>
    <w:rsid w:val="00D73696"/>
    <w:rsid w:val="00D7668E"/>
    <w:rsid w:val="00D815D0"/>
    <w:rsid w:val="00D86213"/>
    <w:rsid w:val="00D90C0A"/>
    <w:rsid w:val="00D96C3D"/>
    <w:rsid w:val="00DA1962"/>
    <w:rsid w:val="00DA52D8"/>
    <w:rsid w:val="00DA7132"/>
    <w:rsid w:val="00DB0CB1"/>
    <w:rsid w:val="00DB3B5E"/>
    <w:rsid w:val="00DB4486"/>
    <w:rsid w:val="00DB5D79"/>
    <w:rsid w:val="00DB72CE"/>
    <w:rsid w:val="00DC2AD3"/>
    <w:rsid w:val="00DC4A87"/>
    <w:rsid w:val="00DC4D91"/>
    <w:rsid w:val="00DD0AF7"/>
    <w:rsid w:val="00DD1312"/>
    <w:rsid w:val="00DD6EB6"/>
    <w:rsid w:val="00DD7ECB"/>
    <w:rsid w:val="00DE08E4"/>
    <w:rsid w:val="00DE52BD"/>
    <w:rsid w:val="00DE7E5B"/>
    <w:rsid w:val="00DF1038"/>
    <w:rsid w:val="00DF4B62"/>
    <w:rsid w:val="00DF5DC7"/>
    <w:rsid w:val="00E04B72"/>
    <w:rsid w:val="00E0517E"/>
    <w:rsid w:val="00E1421E"/>
    <w:rsid w:val="00E26113"/>
    <w:rsid w:val="00E26207"/>
    <w:rsid w:val="00E266A4"/>
    <w:rsid w:val="00E318C6"/>
    <w:rsid w:val="00E35306"/>
    <w:rsid w:val="00E35847"/>
    <w:rsid w:val="00E42E4F"/>
    <w:rsid w:val="00E4384F"/>
    <w:rsid w:val="00E51605"/>
    <w:rsid w:val="00E539A8"/>
    <w:rsid w:val="00E56F4A"/>
    <w:rsid w:val="00E579CC"/>
    <w:rsid w:val="00E73CAB"/>
    <w:rsid w:val="00E748EE"/>
    <w:rsid w:val="00E87432"/>
    <w:rsid w:val="00E877F5"/>
    <w:rsid w:val="00E87AA7"/>
    <w:rsid w:val="00E922E8"/>
    <w:rsid w:val="00E943B8"/>
    <w:rsid w:val="00EA0ADD"/>
    <w:rsid w:val="00EA2A85"/>
    <w:rsid w:val="00EA4B4C"/>
    <w:rsid w:val="00EA5FC2"/>
    <w:rsid w:val="00EB209E"/>
    <w:rsid w:val="00EB5CD1"/>
    <w:rsid w:val="00EB636F"/>
    <w:rsid w:val="00ED165D"/>
    <w:rsid w:val="00ED3200"/>
    <w:rsid w:val="00ED3510"/>
    <w:rsid w:val="00ED4710"/>
    <w:rsid w:val="00EE16D4"/>
    <w:rsid w:val="00EE2C87"/>
    <w:rsid w:val="00EF4086"/>
    <w:rsid w:val="00EF5E2A"/>
    <w:rsid w:val="00F045B9"/>
    <w:rsid w:val="00F1333F"/>
    <w:rsid w:val="00F15F5C"/>
    <w:rsid w:val="00F17ACE"/>
    <w:rsid w:val="00F217F1"/>
    <w:rsid w:val="00F21966"/>
    <w:rsid w:val="00F22A36"/>
    <w:rsid w:val="00F23863"/>
    <w:rsid w:val="00F3081C"/>
    <w:rsid w:val="00F37149"/>
    <w:rsid w:val="00F41A0C"/>
    <w:rsid w:val="00F448EC"/>
    <w:rsid w:val="00F45CA1"/>
    <w:rsid w:val="00F55042"/>
    <w:rsid w:val="00F565A3"/>
    <w:rsid w:val="00F56B8B"/>
    <w:rsid w:val="00F64334"/>
    <w:rsid w:val="00F6487A"/>
    <w:rsid w:val="00F72104"/>
    <w:rsid w:val="00F7435C"/>
    <w:rsid w:val="00F74AFA"/>
    <w:rsid w:val="00F76225"/>
    <w:rsid w:val="00F774EE"/>
    <w:rsid w:val="00F77C79"/>
    <w:rsid w:val="00F77DD4"/>
    <w:rsid w:val="00F81897"/>
    <w:rsid w:val="00F830B9"/>
    <w:rsid w:val="00F833DE"/>
    <w:rsid w:val="00F835E8"/>
    <w:rsid w:val="00F83611"/>
    <w:rsid w:val="00F9119D"/>
    <w:rsid w:val="00FA73A3"/>
    <w:rsid w:val="00FA7A80"/>
    <w:rsid w:val="00FB0866"/>
    <w:rsid w:val="00FB5D9F"/>
    <w:rsid w:val="00FC5C06"/>
    <w:rsid w:val="00FD505C"/>
    <w:rsid w:val="00FD56BB"/>
    <w:rsid w:val="00FD696D"/>
    <w:rsid w:val="00FE494F"/>
    <w:rsid w:val="00FE7E6F"/>
    <w:rsid w:val="00FF258A"/>
    <w:rsid w:val="027452E4"/>
    <w:rsid w:val="0286CF92"/>
    <w:rsid w:val="03287851"/>
    <w:rsid w:val="03417DE3"/>
    <w:rsid w:val="034317A1"/>
    <w:rsid w:val="0371FE11"/>
    <w:rsid w:val="03F2D64C"/>
    <w:rsid w:val="04797DA5"/>
    <w:rsid w:val="05FA3425"/>
    <w:rsid w:val="0655EE0A"/>
    <w:rsid w:val="06A72C6F"/>
    <w:rsid w:val="085414E2"/>
    <w:rsid w:val="08EB9262"/>
    <w:rsid w:val="0AC895E3"/>
    <w:rsid w:val="0BD7863F"/>
    <w:rsid w:val="0D81F2FB"/>
    <w:rsid w:val="0DB393ED"/>
    <w:rsid w:val="0DB5DC23"/>
    <w:rsid w:val="0ECED0CC"/>
    <w:rsid w:val="0F75EE9B"/>
    <w:rsid w:val="103D700E"/>
    <w:rsid w:val="10A77470"/>
    <w:rsid w:val="10FA5D7C"/>
    <w:rsid w:val="11A782B3"/>
    <w:rsid w:val="128A07A2"/>
    <w:rsid w:val="128B6DE7"/>
    <w:rsid w:val="12BBAC9D"/>
    <w:rsid w:val="12DF3CC5"/>
    <w:rsid w:val="138712D1"/>
    <w:rsid w:val="13C8F2B0"/>
    <w:rsid w:val="1487DE17"/>
    <w:rsid w:val="14D75AC8"/>
    <w:rsid w:val="14FF2D57"/>
    <w:rsid w:val="1524AE00"/>
    <w:rsid w:val="15762C8C"/>
    <w:rsid w:val="15F3ADA5"/>
    <w:rsid w:val="1742F17D"/>
    <w:rsid w:val="18B1B9E5"/>
    <w:rsid w:val="1B9ED943"/>
    <w:rsid w:val="1C851D19"/>
    <w:rsid w:val="1CD5B9E0"/>
    <w:rsid w:val="1D8B8E6A"/>
    <w:rsid w:val="1DCAD5B4"/>
    <w:rsid w:val="1E1595E3"/>
    <w:rsid w:val="1ECA6927"/>
    <w:rsid w:val="2067985E"/>
    <w:rsid w:val="20EC3E4A"/>
    <w:rsid w:val="21F5F572"/>
    <w:rsid w:val="226E5135"/>
    <w:rsid w:val="249A49D7"/>
    <w:rsid w:val="277DAE33"/>
    <w:rsid w:val="288C35A2"/>
    <w:rsid w:val="29765461"/>
    <w:rsid w:val="29AA15D4"/>
    <w:rsid w:val="29D4F9F1"/>
    <w:rsid w:val="29FD006C"/>
    <w:rsid w:val="2BBAC2D4"/>
    <w:rsid w:val="2C47979D"/>
    <w:rsid w:val="2EBBD32D"/>
    <w:rsid w:val="2ED38313"/>
    <w:rsid w:val="2FD1830B"/>
    <w:rsid w:val="311FDD0B"/>
    <w:rsid w:val="313CC261"/>
    <w:rsid w:val="32C8C875"/>
    <w:rsid w:val="32D3F8A8"/>
    <w:rsid w:val="3398C421"/>
    <w:rsid w:val="359A686D"/>
    <w:rsid w:val="35D59B6C"/>
    <w:rsid w:val="36B61C53"/>
    <w:rsid w:val="36B63EAB"/>
    <w:rsid w:val="370847D3"/>
    <w:rsid w:val="3713199A"/>
    <w:rsid w:val="374E31DF"/>
    <w:rsid w:val="379D994D"/>
    <w:rsid w:val="37ADD7CC"/>
    <w:rsid w:val="38DB695E"/>
    <w:rsid w:val="394A32AE"/>
    <w:rsid w:val="398DC0EA"/>
    <w:rsid w:val="39F94E92"/>
    <w:rsid w:val="3A9ECB8F"/>
    <w:rsid w:val="3AE3535B"/>
    <w:rsid w:val="3DF3A02A"/>
    <w:rsid w:val="3EF95C07"/>
    <w:rsid w:val="3F4B3862"/>
    <w:rsid w:val="415C90DA"/>
    <w:rsid w:val="423A5AC5"/>
    <w:rsid w:val="42705FF8"/>
    <w:rsid w:val="42757272"/>
    <w:rsid w:val="449B09C8"/>
    <w:rsid w:val="464233BB"/>
    <w:rsid w:val="4696D547"/>
    <w:rsid w:val="46D68EC3"/>
    <w:rsid w:val="4742232C"/>
    <w:rsid w:val="496D14E7"/>
    <w:rsid w:val="4B76393C"/>
    <w:rsid w:val="4CDEBC91"/>
    <w:rsid w:val="4D8B304C"/>
    <w:rsid w:val="4FE8A267"/>
    <w:rsid w:val="4FEF86FC"/>
    <w:rsid w:val="5049E353"/>
    <w:rsid w:val="5138DDE8"/>
    <w:rsid w:val="51C60C69"/>
    <w:rsid w:val="53791576"/>
    <w:rsid w:val="552D7E18"/>
    <w:rsid w:val="56A25868"/>
    <w:rsid w:val="5730A28B"/>
    <w:rsid w:val="5947AA86"/>
    <w:rsid w:val="5AB4D373"/>
    <w:rsid w:val="5B57C160"/>
    <w:rsid w:val="5B9DA275"/>
    <w:rsid w:val="5D75CEB6"/>
    <w:rsid w:val="5D88F626"/>
    <w:rsid w:val="5E35101C"/>
    <w:rsid w:val="5E3C5541"/>
    <w:rsid w:val="5F12727B"/>
    <w:rsid w:val="602F7D44"/>
    <w:rsid w:val="6039404A"/>
    <w:rsid w:val="628F91F4"/>
    <w:rsid w:val="6354ADA3"/>
    <w:rsid w:val="63D76EF3"/>
    <w:rsid w:val="6410E119"/>
    <w:rsid w:val="659E745E"/>
    <w:rsid w:val="672B27CF"/>
    <w:rsid w:val="68055584"/>
    <w:rsid w:val="69652DA2"/>
    <w:rsid w:val="69A79504"/>
    <w:rsid w:val="6A592F79"/>
    <w:rsid w:val="6B3E0D5A"/>
    <w:rsid w:val="6BD911FA"/>
    <w:rsid w:val="6CC98D28"/>
    <w:rsid w:val="6DA96DA4"/>
    <w:rsid w:val="6FD060DE"/>
    <w:rsid w:val="6FD73C6E"/>
    <w:rsid w:val="6FDAD42B"/>
    <w:rsid w:val="706271C5"/>
    <w:rsid w:val="71BF9D27"/>
    <w:rsid w:val="736B1052"/>
    <w:rsid w:val="74425998"/>
    <w:rsid w:val="746F143F"/>
    <w:rsid w:val="7514FC8C"/>
    <w:rsid w:val="78D1388C"/>
    <w:rsid w:val="7B2020DE"/>
    <w:rsid w:val="7BB7AA4E"/>
    <w:rsid w:val="7C27C5D3"/>
    <w:rsid w:val="7C705A57"/>
    <w:rsid w:val="7CAE6A63"/>
    <w:rsid w:val="7D839B94"/>
    <w:rsid w:val="7DEF32A2"/>
    <w:rsid w:val="7F2078B2"/>
    <w:rsid w:val="7F38D827"/>
    <w:rsid w:val="7F6F5D6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837F"/>
  <w15:chartTrackingRefBased/>
  <w15:docId w15:val="{0D19699D-E038-4445-BB95-304D8542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A0"/>
    <w:pPr>
      <w:spacing w:after="120" w:line="260" w:lineRule="atLeast"/>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ind w:left="284" w:hanging="284"/>
      <w:contextualSpacing/>
    </w:pPr>
  </w:style>
  <w:style w:type="paragraph" w:styleId="ListBullet2">
    <w:name w:val="List Bullet 2"/>
    <w:basedOn w:val="Normal"/>
    <w:uiPriority w:val="99"/>
    <w:qFormat/>
    <w:rsid w:val="00805255"/>
    <w:pPr>
      <w:numPr>
        <w:numId w:val="2"/>
      </w:numPr>
      <w:ind w:left="568" w:hanging="284"/>
    </w:pPr>
  </w:style>
  <w:style w:type="paragraph" w:styleId="ListNumber">
    <w:name w:val="List Number"/>
    <w:basedOn w:val="Normal"/>
    <w:uiPriority w:val="99"/>
    <w:qFormat/>
    <w:rsid w:val="00805255"/>
    <w:pPr>
      <w:numPr>
        <w:ilvl w:val="1"/>
        <w:numId w:val="3"/>
      </w:numPr>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rsid w:val="00F3081C"/>
    <w:pPr>
      <w:spacing w:after="0" w:line="240" w:lineRule="auto"/>
    </w:pPr>
    <w:rPr>
      <w:sz w:val="16"/>
      <w:szCs w:val="20"/>
    </w:rPr>
  </w:style>
  <w:style w:type="character" w:customStyle="1" w:styleId="FootnoteTextChar">
    <w:name w:val="Footnote Text Char"/>
    <w:basedOn w:val="DefaultParagraphFont"/>
    <w:link w:val="FootnoteText"/>
    <w:uiPriority w:val="99"/>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
    <w:link w:val="ListParagraph"/>
    <w:uiPriority w:val="34"/>
    <w:rsid w:val="007710D2"/>
    <w:rPr>
      <w:rFonts w:eastAsiaTheme="minorEastAsia"/>
      <w:i/>
      <w:iCs/>
      <w:sz w:val="20"/>
      <w:szCs w:val="20"/>
      <w:lang w:val="en-US"/>
    </w:rPr>
  </w:style>
  <w:style w:type="table" w:styleId="GridTable1Light-Accent1">
    <w:name w:val="Grid Table 1 Light Accent 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67F2D"/>
    <w:rPr>
      <w:color w:val="DA291C" w:themeColor="hyperlink"/>
      <w:u w:val="single"/>
    </w:rPr>
  </w:style>
  <w:style w:type="table" w:styleId="GridTable1Light-Accent3">
    <w:name w:val="Grid Table 1 Light Accent 3"/>
    <w:basedOn w:val="TableNormal"/>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C66A36"/>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 w:type="paragraph" w:styleId="TOCHeading">
    <w:name w:val="TOC Heading"/>
    <w:basedOn w:val="Heading1"/>
    <w:next w:val="Normal"/>
    <w:uiPriority w:val="39"/>
    <w:unhideWhenUsed/>
    <w:qFormat/>
    <w:rsid w:val="001D630C"/>
    <w:pPr>
      <w:spacing w:before="240" w:after="0" w:line="259" w:lineRule="auto"/>
      <w:outlineLvl w:val="9"/>
    </w:pPr>
    <w:rPr>
      <w:bCs w:val="0"/>
      <w:caps w:val="0"/>
      <w:color w:val="A31E15" w:themeColor="accent1" w:themeShade="BF"/>
      <w:sz w:val="32"/>
      <w:szCs w:val="32"/>
      <w:lang w:val="en-US"/>
    </w:rPr>
  </w:style>
  <w:style w:type="paragraph" w:styleId="TOC1">
    <w:name w:val="toc 1"/>
    <w:basedOn w:val="Normal"/>
    <w:next w:val="Normal"/>
    <w:autoRedefine/>
    <w:uiPriority w:val="39"/>
    <w:unhideWhenUsed/>
    <w:rsid w:val="001D630C"/>
    <w:pPr>
      <w:spacing w:after="100"/>
    </w:pPr>
  </w:style>
  <w:style w:type="table" w:styleId="PlainTable1">
    <w:name w:val="Plain Table 1"/>
    <w:basedOn w:val="TableNormal"/>
    <w:uiPriority w:val="41"/>
    <w:rsid w:val="00C33E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rsid w:val="00163664"/>
    <w:rPr>
      <w:b/>
      <w:bCs/>
    </w:rPr>
  </w:style>
  <w:style w:type="character" w:customStyle="1" w:styleId="CommentSubjectChar">
    <w:name w:val="Comment Subject Char"/>
    <w:basedOn w:val="CommentTextChar"/>
    <w:link w:val="CommentSubject"/>
    <w:uiPriority w:val="99"/>
    <w:semiHidden/>
    <w:rsid w:val="00163664"/>
    <w:rPr>
      <w:b/>
      <w:bCs/>
      <w:color w:val="000000" w:themeColor="text1"/>
      <w:sz w:val="20"/>
      <w:szCs w:val="20"/>
    </w:rPr>
  </w:style>
  <w:style w:type="paragraph" w:customStyle="1" w:styleId="StyleBRIDGE">
    <w:name w:val="Style BRIDGE"/>
    <w:basedOn w:val="Heading1"/>
    <w:autoRedefine/>
    <w:qFormat/>
    <w:rsid w:val="002C21C0"/>
    <w:pPr>
      <w:numPr>
        <w:numId w:val="4"/>
      </w:numPr>
      <w:spacing w:before="240" w:after="0" w:line="360" w:lineRule="auto"/>
    </w:pPr>
    <w:rPr>
      <w:rFonts w:ascii="Arial Narrow" w:hAnsi="Arial Narrow"/>
      <w:bCs w:val="0"/>
      <w:caps w:val="0"/>
      <w:color w:val="004D53" w:themeColor="accent6" w:themeShade="80"/>
      <w:sz w:val="28"/>
      <w:szCs w:val="32"/>
      <w:lang w:val="en-US"/>
    </w:rPr>
  </w:style>
  <w:style w:type="paragraph" w:customStyle="1" w:styleId="BRIDGE2">
    <w:name w:val="BRIDGE 2"/>
    <w:basedOn w:val="Heading2"/>
    <w:autoRedefine/>
    <w:qFormat/>
    <w:rsid w:val="002C21C0"/>
    <w:pPr>
      <w:numPr>
        <w:ilvl w:val="1"/>
        <w:numId w:val="4"/>
      </w:numPr>
      <w:spacing w:after="0" w:line="276" w:lineRule="auto"/>
    </w:pPr>
    <w:rPr>
      <w:rFonts w:ascii="Arial Narrow" w:hAnsi="Arial Narrow"/>
      <w:b w:val="0"/>
      <w:bCs w:val="0"/>
      <w:color w:val="004D53" w:themeColor="accent6" w:themeShade="80"/>
      <w:sz w:val="26"/>
      <w:lang w:val="en-US"/>
    </w:rPr>
  </w:style>
  <w:style w:type="table" w:styleId="TableGridLight">
    <w:name w:val="Grid Table Light"/>
    <w:basedOn w:val="TableNormal"/>
    <w:uiPriority w:val="40"/>
    <w:rsid w:val="002941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423112352">
      <w:bodyDiv w:val="1"/>
      <w:marLeft w:val="0"/>
      <w:marRight w:val="0"/>
      <w:marTop w:val="0"/>
      <w:marBottom w:val="0"/>
      <w:divBdr>
        <w:top w:val="none" w:sz="0" w:space="0" w:color="auto"/>
        <w:left w:val="none" w:sz="0" w:space="0" w:color="auto"/>
        <w:bottom w:val="none" w:sz="0" w:space="0" w:color="auto"/>
        <w:right w:val="none" w:sz="0" w:space="0" w:color="auto"/>
      </w:divBdr>
    </w:div>
    <w:div w:id="564410381">
      <w:bodyDiv w:val="1"/>
      <w:marLeft w:val="0"/>
      <w:marRight w:val="0"/>
      <w:marTop w:val="0"/>
      <w:marBottom w:val="0"/>
      <w:divBdr>
        <w:top w:val="none" w:sz="0" w:space="0" w:color="auto"/>
        <w:left w:val="none" w:sz="0" w:space="0" w:color="auto"/>
        <w:bottom w:val="none" w:sz="0" w:space="0" w:color="auto"/>
        <w:right w:val="none" w:sz="0" w:space="0" w:color="auto"/>
      </w:divBdr>
      <w:divsChild>
        <w:div w:id="1297878081">
          <w:marLeft w:val="0"/>
          <w:marRight w:val="0"/>
          <w:marTop w:val="0"/>
          <w:marBottom w:val="0"/>
          <w:divBdr>
            <w:top w:val="none" w:sz="0" w:space="0" w:color="auto"/>
            <w:left w:val="none" w:sz="0" w:space="0" w:color="auto"/>
            <w:bottom w:val="none" w:sz="0" w:space="0" w:color="auto"/>
            <w:right w:val="none" w:sz="0" w:space="0" w:color="auto"/>
          </w:divBdr>
        </w:div>
      </w:divsChild>
    </w:div>
    <w:div w:id="594946789">
      <w:bodyDiv w:val="1"/>
      <w:marLeft w:val="0"/>
      <w:marRight w:val="0"/>
      <w:marTop w:val="0"/>
      <w:marBottom w:val="0"/>
      <w:divBdr>
        <w:top w:val="none" w:sz="0" w:space="0" w:color="auto"/>
        <w:left w:val="none" w:sz="0" w:space="0" w:color="auto"/>
        <w:bottom w:val="none" w:sz="0" w:space="0" w:color="auto"/>
        <w:right w:val="none" w:sz="0" w:space="0" w:color="auto"/>
      </w:divBdr>
    </w:div>
    <w:div w:id="598493380">
      <w:bodyDiv w:val="1"/>
      <w:marLeft w:val="0"/>
      <w:marRight w:val="0"/>
      <w:marTop w:val="0"/>
      <w:marBottom w:val="0"/>
      <w:divBdr>
        <w:top w:val="none" w:sz="0" w:space="0" w:color="auto"/>
        <w:left w:val="none" w:sz="0" w:space="0" w:color="auto"/>
        <w:bottom w:val="none" w:sz="0" w:space="0" w:color="auto"/>
        <w:right w:val="none" w:sz="0" w:space="0" w:color="auto"/>
      </w:divBdr>
    </w:div>
    <w:div w:id="844132557">
      <w:bodyDiv w:val="1"/>
      <w:marLeft w:val="0"/>
      <w:marRight w:val="0"/>
      <w:marTop w:val="0"/>
      <w:marBottom w:val="0"/>
      <w:divBdr>
        <w:top w:val="none" w:sz="0" w:space="0" w:color="auto"/>
        <w:left w:val="none" w:sz="0" w:space="0" w:color="auto"/>
        <w:bottom w:val="none" w:sz="0" w:space="0" w:color="auto"/>
        <w:right w:val="none" w:sz="0" w:space="0" w:color="auto"/>
      </w:divBdr>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1230460737">
      <w:bodyDiv w:val="1"/>
      <w:marLeft w:val="0"/>
      <w:marRight w:val="0"/>
      <w:marTop w:val="0"/>
      <w:marBottom w:val="0"/>
      <w:divBdr>
        <w:top w:val="none" w:sz="0" w:space="0" w:color="auto"/>
        <w:left w:val="none" w:sz="0" w:space="0" w:color="auto"/>
        <w:bottom w:val="none" w:sz="0" w:space="0" w:color="auto"/>
        <w:right w:val="none" w:sz="0" w:space="0" w:color="auto"/>
      </w:divBdr>
    </w:div>
    <w:div w:id="1321075535">
      <w:bodyDiv w:val="1"/>
      <w:marLeft w:val="0"/>
      <w:marRight w:val="0"/>
      <w:marTop w:val="0"/>
      <w:marBottom w:val="0"/>
      <w:divBdr>
        <w:top w:val="none" w:sz="0" w:space="0" w:color="auto"/>
        <w:left w:val="none" w:sz="0" w:space="0" w:color="auto"/>
        <w:bottom w:val="none" w:sz="0" w:space="0" w:color="auto"/>
        <w:right w:val="none" w:sz="0" w:space="0" w:color="auto"/>
      </w:divBdr>
    </w:div>
    <w:div w:id="1353414825">
      <w:bodyDiv w:val="1"/>
      <w:marLeft w:val="0"/>
      <w:marRight w:val="0"/>
      <w:marTop w:val="0"/>
      <w:marBottom w:val="0"/>
      <w:divBdr>
        <w:top w:val="none" w:sz="0" w:space="0" w:color="auto"/>
        <w:left w:val="none" w:sz="0" w:space="0" w:color="auto"/>
        <w:bottom w:val="none" w:sz="0" w:space="0" w:color="auto"/>
        <w:right w:val="none" w:sz="0" w:space="0" w:color="auto"/>
      </w:divBdr>
    </w:div>
    <w:div w:id="1672486879">
      <w:bodyDiv w:val="1"/>
      <w:marLeft w:val="0"/>
      <w:marRight w:val="0"/>
      <w:marTop w:val="0"/>
      <w:marBottom w:val="0"/>
      <w:divBdr>
        <w:top w:val="none" w:sz="0" w:space="0" w:color="auto"/>
        <w:left w:val="none" w:sz="0" w:space="0" w:color="auto"/>
        <w:bottom w:val="none" w:sz="0" w:space="0" w:color="auto"/>
        <w:right w:val="none" w:sz="0" w:space="0" w:color="auto"/>
      </w:divBdr>
    </w:div>
    <w:div w:id="1927766592">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16778430">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885a51c0f15642ff"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ae69e486a3db4e1e"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F2A27CAF6E341A878506C55580578" ma:contentTypeVersion="4" ma:contentTypeDescription="Create a new document." ma:contentTypeScope="" ma:versionID="a68711923c5ce1ded393c45577fc0df4">
  <xsd:schema xmlns:xsd="http://www.w3.org/2001/XMLSchema" xmlns:xs="http://www.w3.org/2001/XMLSchema" xmlns:p="http://schemas.microsoft.com/office/2006/metadata/properties" xmlns:ns2="cab0226b-6c87-40e1-bb72-47bd352b2baa" targetNamespace="http://schemas.microsoft.com/office/2006/metadata/properties" ma:root="true" ma:fieldsID="37d8e29b624925b37f3b05c4f372a889" ns2:_="">
    <xsd:import namespace="cab0226b-6c87-40e1-bb72-47bd352b2b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226b-6c87-40e1-bb72-47bd352b2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2.xml><?xml version="1.0" encoding="utf-8"?>
<ds:datastoreItem xmlns:ds="http://schemas.openxmlformats.org/officeDocument/2006/customXml" ds:itemID="{0671479B-6A41-4E6B-8011-8078FDD74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226b-6c87-40e1-bb72-47bd352b2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F2CB32-DECB-4A7D-93CB-C85D3FCC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26</TotalTime>
  <Pages>4</Pages>
  <Words>1436</Words>
  <Characters>8189</Characters>
  <Application>Microsoft Office Word</Application>
  <DocSecurity>0</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Emery, Cathy</cp:lastModifiedBy>
  <cp:revision>8</cp:revision>
  <cp:lastPrinted>2016-04-22T16:04:00Z</cp:lastPrinted>
  <dcterms:created xsi:type="dcterms:W3CDTF">2021-06-07T09:57:00Z</dcterms:created>
  <dcterms:modified xsi:type="dcterms:W3CDTF">2021-06-09T12:18:00Z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0x010100447F2A27CAF6E341A878506C55580578</vt:lpwstr>
  </property>
  <property fmtid="{D5CDD505-2E9C-101B-9397-08002B2CF9AE}" pid="3" name="_NewReviewCycle">
    <vt:lpwstr/>
  </property>
</Properties>
</file>